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Times New Roman" w:hAnsi="Times New Roman" w:eastAsia="黑体" w:cs="Times New Roman"/>
          <w:b/>
          <w:bCs/>
          <w:color w:val="000000" w:themeColor="text1"/>
          <w:kern w:val="0"/>
          <w:sz w:val="44"/>
          <w:szCs w:val="44"/>
          <w14:textFill>
            <w14:solidFill>
              <w14:schemeClr w14:val="tx1"/>
            </w14:solidFill>
          </w14:textFill>
        </w:rPr>
      </w:pPr>
    </w:p>
    <w:p>
      <w:pPr>
        <w:spacing w:line="240" w:lineRule="auto"/>
        <w:ind w:firstLine="0" w:firstLineChars="0"/>
        <w:jc w:val="center"/>
        <w:rPr>
          <w:rFonts w:ascii="Times New Roman" w:hAnsi="Times New Roman" w:eastAsia="黑体" w:cs="Times New Roman"/>
          <w:b/>
          <w:bCs/>
          <w:color w:val="000000" w:themeColor="text1"/>
          <w:kern w:val="0"/>
          <w:sz w:val="44"/>
          <w:szCs w:val="44"/>
          <w14:textFill>
            <w14:solidFill>
              <w14:schemeClr w14:val="tx1"/>
            </w14:solidFill>
          </w14:textFill>
        </w:rPr>
      </w:pPr>
    </w:p>
    <w:p>
      <w:pPr>
        <w:spacing w:line="240" w:lineRule="auto"/>
        <w:ind w:firstLine="0" w:firstLineChars="0"/>
        <w:jc w:val="center"/>
        <w:rPr>
          <w:rFonts w:ascii="Times New Roman" w:hAnsi="Times New Roman" w:eastAsia="华文中宋" w:cs="Times New Roman"/>
          <w:b/>
          <w:bCs/>
          <w:color w:val="000000" w:themeColor="text1"/>
          <w:kern w:val="0"/>
          <w:sz w:val="52"/>
          <w:szCs w:val="52"/>
          <w14:textFill>
            <w14:solidFill>
              <w14:schemeClr w14:val="tx1"/>
            </w14:solidFill>
          </w14:textFill>
        </w:rPr>
      </w:pPr>
    </w:p>
    <w:p>
      <w:pPr>
        <w:spacing w:line="240" w:lineRule="auto"/>
        <w:ind w:firstLine="0" w:firstLineChars="0"/>
        <w:jc w:val="center"/>
        <w:rPr>
          <w:rFonts w:ascii="Times New Roman" w:hAnsi="Times New Roman" w:eastAsia="华文中宋" w:cs="Times New Roman"/>
          <w:b/>
          <w:bCs/>
          <w:color w:val="000000" w:themeColor="text1"/>
          <w:kern w:val="0"/>
          <w:sz w:val="52"/>
          <w:szCs w:val="52"/>
          <w14:textFill>
            <w14:solidFill>
              <w14:schemeClr w14:val="tx1"/>
            </w14:solidFill>
          </w14:textFill>
        </w:rPr>
      </w:pPr>
    </w:p>
    <w:p>
      <w:pPr>
        <w:spacing w:line="240" w:lineRule="auto"/>
        <w:ind w:firstLine="0" w:firstLineChars="0"/>
        <w:jc w:val="center"/>
        <w:rPr>
          <w:rFonts w:hint="eastAsia" w:ascii="方正小标宋简体" w:hAnsi="Times New Roman" w:eastAsia="方正小标宋简体" w:cs="Times New Roman"/>
          <w:bCs/>
          <w:color w:val="000000" w:themeColor="text1"/>
          <w:kern w:val="0"/>
          <w:sz w:val="52"/>
          <w:szCs w:val="52"/>
          <w14:textFill>
            <w14:solidFill>
              <w14:schemeClr w14:val="tx1"/>
            </w14:solidFill>
          </w14:textFill>
        </w:rPr>
      </w:pPr>
      <w:bookmarkStart w:id="5" w:name="_GoBack"/>
      <w:r>
        <w:rPr>
          <w:rFonts w:hint="eastAsia" w:ascii="方正小标宋简体" w:hAnsi="Times New Roman" w:eastAsia="方正小标宋简体" w:cs="Times New Roman"/>
          <w:bCs/>
          <w:color w:val="000000" w:themeColor="text1"/>
          <w:kern w:val="0"/>
          <w:sz w:val="52"/>
          <w:szCs w:val="52"/>
          <w14:textFill>
            <w14:solidFill>
              <w14:schemeClr w14:val="tx1"/>
            </w14:solidFill>
          </w14:textFill>
        </w:rPr>
        <w:t>2022年度重庆市教委哲学社会科学研究项目课题指南</w:t>
      </w:r>
    </w:p>
    <w:bookmarkEnd w:id="5"/>
    <w:p>
      <w:pPr>
        <w:spacing w:line="240" w:lineRule="auto"/>
        <w:ind w:firstLine="0" w:firstLineChars="0"/>
        <w:jc w:val="center"/>
        <w:rPr>
          <w:rFonts w:ascii="Times New Roman" w:hAnsi="Times New Roman" w:eastAsia="华文中宋" w:cs="Times New Roman"/>
          <w:b/>
          <w:bCs/>
          <w:color w:val="000000" w:themeColor="text1"/>
          <w:kern w:val="0"/>
          <w:sz w:val="36"/>
          <w:szCs w:val="36"/>
          <w14:textFill>
            <w14:solidFill>
              <w14:schemeClr w14:val="tx1"/>
            </w14:solidFill>
          </w14:textFill>
        </w:rPr>
      </w:pPr>
    </w:p>
    <w:p>
      <w:pPr>
        <w:spacing w:line="240" w:lineRule="auto"/>
        <w:ind w:firstLine="0" w:firstLineChars="0"/>
        <w:jc w:val="center"/>
        <w:rPr>
          <w:rFonts w:ascii="Times New Roman" w:hAnsi="Times New Roman" w:eastAsia="黑体" w:cs="Times New Roman"/>
          <w:b/>
          <w:bCs/>
          <w:color w:val="000000" w:themeColor="text1"/>
          <w:kern w:val="0"/>
          <w:sz w:val="44"/>
          <w:szCs w:val="44"/>
          <w14:textFill>
            <w14:solidFill>
              <w14:schemeClr w14:val="tx1"/>
            </w14:solidFill>
          </w14:textFill>
        </w:rPr>
      </w:pPr>
    </w:p>
    <w:p>
      <w:pPr>
        <w:spacing w:line="240" w:lineRule="auto"/>
        <w:ind w:firstLine="0" w:firstLineChars="0"/>
        <w:jc w:val="center"/>
        <w:rPr>
          <w:rFonts w:ascii="Times New Roman" w:hAnsi="Times New Roman" w:eastAsia="黑体" w:cs="Times New Roman"/>
          <w:b/>
          <w:bCs/>
          <w:color w:val="000000" w:themeColor="text1"/>
          <w:kern w:val="0"/>
          <w:sz w:val="44"/>
          <w:szCs w:val="44"/>
          <w14:textFill>
            <w14:solidFill>
              <w14:schemeClr w14:val="tx1"/>
            </w14:solidFill>
          </w14:textFill>
        </w:rPr>
      </w:pPr>
    </w:p>
    <w:p>
      <w:pPr>
        <w:spacing w:line="240" w:lineRule="auto"/>
        <w:ind w:firstLine="0" w:firstLineChars="0"/>
        <w:jc w:val="center"/>
        <w:rPr>
          <w:rFonts w:ascii="Times New Roman" w:hAnsi="Times New Roman" w:eastAsia="黑体" w:cs="Times New Roman"/>
          <w:b/>
          <w:bCs/>
          <w:color w:val="000000" w:themeColor="text1"/>
          <w:kern w:val="0"/>
          <w:sz w:val="44"/>
          <w:szCs w:val="44"/>
          <w14:textFill>
            <w14:solidFill>
              <w14:schemeClr w14:val="tx1"/>
            </w14:solidFill>
          </w14:textFill>
        </w:rPr>
      </w:pPr>
    </w:p>
    <w:p>
      <w:pPr>
        <w:spacing w:line="240" w:lineRule="auto"/>
        <w:ind w:firstLine="0" w:firstLineChars="0"/>
        <w:jc w:val="center"/>
        <w:rPr>
          <w:rFonts w:ascii="Times New Roman" w:hAnsi="Times New Roman" w:eastAsia="黑体" w:cs="Times New Roman"/>
          <w:b/>
          <w:bCs/>
          <w:color w:val="000000" w:themeColor="text1"/>
          <w:kern w:val="0"/>
          <w:sz w:val="44"/>
          <w:szCs w:val="44"/>
          <w14:textFill>
            <w14:solidFill>
              <w14:schemeClr w14:val="tx1"/>
            </w14:solidFill>
          </w14:textFill>
        </w:rPr>
      </w:pPr>
    </w:p>
    <w:p>
      <w:pPr>
        <w:spacing w:line="240" w:lineRule="auto"/>
        <w:ind w:firstLine="0" w:firstLineChars="0"/>
        <w:jc w:val="center"/>
        <w:rPr>
          <w:rFonts w:ascii="Times New Roman" w:hAnsi="Times New Roman" w:eastAsia="黑体" w:cs="Times New Roman"/>
          <w:b/>
          <w:bCs/>
          <w:color w:val="000000" w:themeColor="text1"/>
          <w:kern w:val="0"/>
          <w:sz w:val="44"/>
          <w:szCs w:val="44"/>
          <w14:textFill>
            <w14:solidFill>
              <w14:schemeClr w14:val="tx1"/>
            </w14:solidFill>
          </w14:textFill>
        </w:rPr>
      </w:pPr>
    </w:p>
    <w:p>
      <w:pPr>
        <w:spacing w:line="240" w:lineRule="auto"/>
        <w:ind w:firstLine="0" w:firstLineChars="0"/>
        <w:jc w:val="center"/>
        <w:rPr>
          <w:rFonts w:ascii="Times New Roman" w:hAnsi="Times New Roman" w:eastAsia="黑体" w:cs="Times New Roman"/>
          <w:b/>
          <w:bCs/>
          <w:color w:val="000000" w:themeColor="text1"/>
          <w:kern w:val="0"/>
          <w:sz w:val="44"/>
          <w:szCs w:val="44"/>
          <w14:textFill>
            <w14:solidFill>
              <w14:schemeClr w14:val="tx1"/>
            </w14:solidFill>
          </w14:textFill>
        </w:rPr>
      </w:pPr>
    </w:p>
    <w:p>
      <w:pPr>
        <w:spacing w:line="240" w:lineRule="auto"/>
        <w:ind w:firstLine="0" w:firstLineChars="0"/>
        <w:jc w:val="center"/>
        <w:rPr>
          <w:rFonts w:ascii="Times New Roman" w:hAnsi="Times New Roman" w:eastAsia="黑体" w:cs="Times New Roman"/>
          <w:b/>
          <w:bCs/>
          <w:color w:val="000000" w:themeColor="text1"/>
          <w:kern w:val="0"/>
          <w:sz w:val="44"/>
          <w:szCs w:val="44"/>
          <w14:textFill>
            <w14:solidFill>
              <w14:schemeClr w14:val="tx1"/>
            </w14:solidFill>
          </w14:textFill>
        </w:rPr>
      </w:pPr>
    </w:p>
    <w:p>
      <w:pPr>
        <w:spacing w:line="240" w:lineRule="auto"/>
        <w:ind w:firstLine="0" w:firstLineChars="0"/>
        <w:jc w:val="center"/>
        <w:rPr>
          <w:rFonts w:ascii="Times New Roman" w:hAnsi="Times New Roman" w:eastAsia="黑体" w:cs="Times New Roman"/>
          <w:b/>
          <w:bCs/>
          <w:color w:val="000000" w:themeColor="text1"/>
          <w:kern w:val="0"/>
          <w:sz w:val="44"/>
          <w:szCs w:val="44"/>
          <w14:textFill>
            <w14:solidFill>
              <w14:schemeClr w14:val="tx1"/>
            </w14:solidFill>
          </w14:textFill>
        </w:rPr>
      </w:pPr>
    </w:p>
    <w:p>
      <w:pPr>
        <w:spacing w:line="240" w:lineRule="auto"/>
        <w:ind w:firstLine="0" w:firstLineChars="0"/>
        <w:jc w:val="center"/>
        <w:rPr>
          <w:rFonts w:ascii="Times New Roman" w:hAnsi="Times New Roman" w:eastAsia="黑体" w:cs="Times New Roman"/>
          <w:b/>
          <w:bCs/>
          <w:color w:val="000000" w:themeColor="text1"/>
          <w:kern w:val="0"/>
          <w:sz w:val="44"/>
          <w:szCs w:val="44"/>
          <w14:textFill>
            <w14:solidFill>
              <w14:schemeClr w14:val="tx1"/>
            </w14:solidFill>
          </w14:textFill>
        </w:rPr>
      </w:pPr>
    </w:p>
    <w:p>
      <w:pPr>
        <w:spacing w:line="240" w:lineRule="auto"/>
        <w:ind w:firstLine="0" w:firstLineChars="0"/>
        <w:jc w:val="center"/>
        <w:rPr>
          <w:rFonts w:ascii="Times New Roman" w:hAnsi="Times New Roman" w:eastAsia="楷体_GB2312" w:cs="Times New Roman"/>
          <w:b/>
          <w:bCs/>
          <w:color w:val="000000" w:themeColor="text1"/>
          <w:kern w:val="0"/>
          <w:sz w:val="36"/>
          <w:szCs w:val="36"/>
          <w14:textFill>
            <w14:solidFill>
              <w14:schemeClr w14:val="tx1"/>
            </w14:solidFill>
          </w14:textFill>
        </w:rPr>
      </w:pPr>
    </w:p>
    <w:p>
      <w:pPr>
        <w:spacing w:line="240" w:lineRule="auto"/>
        <w:ind w:firstLine="0" w:firstLineChars="0"/>
        <w:jc w:val="center"/>
        <w:rPr>
          <w:rFonts w:ascii="Times New Roman" w:hAnsi="Times New Roman" w:eastAsia="楷体_GB2312" w:cs="Times New Roman"/>
          <w:bCs/>
          <w:color w:val="000000" w:themeColor="text1"/>
          <w:kern w:val="0"/>
          <w:sz w:val="36"/>
          <w:szCs w:val="36"/>
          <w14:textFill>
            <w14:solidFill>
              <w14:schemeClr w14:val="tx1"/>
            </w14:solidFill>
          </w14:textFill>
        </w:rPr>
      </w:pPr>
      <w:r>
        <w:rPr>
          <w:rFonts w:ascii="Times New Roman" w:hAnsi="Times New Roman" w:eastAsia="楷体_GB2312" w:cs="Times New Roman"/>
          <w:bCs/>
          <w:color w:val="000000" w:themeColor="text1"/>
          <w:kern w:val="0"/>
          <w:sz w:val="36"/>
          <w:szCs w:val="36"/>
          <w14:textFill>
            <w14:solidFill>
              <w14:schemeClr w14:val="tx1"/>
            </w14:solidFill>
          </w14:textFill>
        </w:rPr>
        <w:t>2021年12月</w:t>
      </w:r>
    </w:p>
    <w:p>
      <w:pPr>
        <w:spacing w:line="240" w:lineRule="auto"/>
        <w:ind w:firstLine="0" w:firstLineChars="0"/>
        <w:jc w:val="center"/>
        <w:rPr>
          <w:rFonts w:ascii="Times New Roman" w:hAnsi="Times New Roman" w:eastAsia="黑体" w:cs="Times New Roman"/>
          <w:b/>
          <w:bCs/>
          <w:color w:val="000000" w:themeColor="text1"/>
          <w:kern w:val="0"/>
          <w:sz w:val="44"/>
          <w:szCs w:val="44"/>
          <w14:textFill>
            <w14:solidFill>
              <w14:schemeClr w14:val="tx1"/>
            </w14:solidFill>
          </w14:textFill>
        </w:rPr>
      </w:pPr>
    </w:p>
    <w:p>
      <w:pPr>
        <w:spacing w:line="240" w:lineRule="auto"/>
        <w:ind w:firstLine="0" w:firstLineChars="0"/>
        <w:jc w:val="center"/>
        <w:rPr>
          <w:rFonts w:ascii="Times New Roman" w:hAnsi="Times New Roman" w:eastAsia="黑体" w:cs="Times New Roman"/>
          <w:b/>
          <w:bCs/>
          <w:color w:val="000000" w:themeColor="text1"/>
          <w:kern w:val="0"/>
          <w:sz w:val="44"/>
          <w:szCs w:val="4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361" w:right="1797" w:bottom="1361" w:left="1797" w:header="851" w:footer="992" w:gutter="0"/>
          <w:pgNumType w:start="1"/>
          <w:cols w:space="720" w:num="1"/>
          <w:docGrid w:type="lines" w:linePitch="312" w:charSpace="0"/>
        </w:sectPr>
      </w:pPr>
    </w:p>
    <w:p>
      <w:pPr>
        <w:spacing w:line="240" w:lineRule="auto"/>
        <w:ind w:firstLine="0" w:firstLineChars="0"/>
        <w:jc w:val="center"/>
        <w:rPr>
          <w:rFonts w:ascii="Times New Roman" w:hAnsi="Times New Roman" w:eastAsia="黑体" w:cs="Times New Roman"/>
          <w:b/>
          <w:bCs/>
          <w:color w:val="000000" w:themeColor="text1"/>
          <w:kern w:val="0"/>
          <w:sz w:val="44"/>
          <w:szCs w:val="44"/>
          <w14:textFill>
            <w14:solidFill>
              <w14:schemeClr w14:val="tx1"/>
            </w14:solidFill>
          </w14:textFill>
        </w:rPr>
      </w:pPr>
    </w:p>
    <w:p>
      <w:pPr>
        <w:widowControl w:val="0"/>
        <w:autoSpaceDN w:val="0"/>
        <w:spacing w:line="600" w:lineRule="exact"/>
        <w:ind w:firstLine="0" w:firstLineChars="0"/>
        <w:jc w:val="center"/>
        <w:textAlignment w:val="center"/>
        <w:rPr>
          <w:rFonts w:ascii="Times New Roman" w:hAnsi="Times New Roman" w:eastAsia="黑体" w:cs="Times New Roman"/>
          <w:b/>
          <w:bCs/>
          <w:color w:val="000000" w:themeColor="text1"/>
          <w:kern w:val="0"/>
          <w:sz w:val="32"/>
          <w:szCs w:val="32"/>
          <w14:textFill>
            <w14:solidFill>
              <w14:schemeClr w14:val="tx1"/>
            </w14:solidFill>
          </w14:textFill>
        </w:rPr>
      </w:pPr>
      <w:r>
        <w:rPr>
          <w:rFonts w:ascii="Times New Roman" w:hAnsi="Times New Roman" w:eastAsia="黑体" w:cs="Times New Roman"/>
          <w:b/>
          <w:bCs/>
          <w:color w:val="000000" w:themeColor="text1"/>
          <w:kern w:val="0"/>
          <w:sz w:val="32"/>
          <w:szCs w:val="32"/>
          <w14:textFill>
            <w14:solidFill>
              <w14:schemeClr w14:val="tx1"/>
            </w14:solidFill>
          </w14:textFill>
        </w:rPr>
        <w:t>说明</w:t>
      </w:r>
    </w:p>
    <w:p>
      <w:pPr>
        <w:widowControl w:val="0"/>
        <w:autoSpaceDN w:val="0"/>
        <w:spacing w:line="600" w:lineRule="exact"/>
        <w:ind w:firstLine="0" w:firstLineChars="0"/>
        <w:textAlignment w:val="center"/>
        <w:rPr>
          <w:rFonts w:ascii="Times New Roman" w:hAnsi="Times New Roman" w:eastAsia="仿宋_GB2312" w:cs="Times New Roman"/>
          <w:bCs/>
          <w:color w:val="000000" w:themeColor="text1"/>
          <w:kern w:val="0"/>
          <w:sz w:val="32"/>
          <w:szCs w:val="32"/>
          <w14:textFill>
            <w14:solidFill>
              <w14:schemeClr w14:val="tx1"/>
            </w14:solidFill>
          </w14:textFill>
        </w:rPr>
      </w:pPr>
    </w:p>
    <w:p>
      <w:pPr>
        <w:widowControl w:val="0"/>
        <w:autoSpaceDN w:val="0"/>
        <w:spacing w:line="700" w:lineRule="exact"/>
        <w:ind w:firstLine="640"/>
        <w:textAlignment w:val="center"/>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1.根据国家质量技术监督局2009年公布的《学科分类与代码》和高校的实际情况，项目申报学科范围包括：党的十九届六中全会精神研究阐释、马克思主义理论/思想政治教育、哲学、政治学、国际问题研究、语言学、中国文学、外国文学、管理学、人口学、民族学、新闻与传播学、图书情报文献学、教育学/心理学、体育学、历史学、考古学、经济学、统计学、社会学、法学、艺术学。</w:t>
      </w:r>
    </w:p>
    <w:p>
      <w:pPr>
        <w:widowControl w:val="0"/>
        <w:autoSpaceDN w:val="0"/>
        <w:spacing w:line="700" w:lineRule="exact"/>
        <w:ind w:firstLine="640"/>
        <w:textAlignment w:val="center"/>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2.本“选题指南”主要是方向性条目，申请人须选择不同学科的研究角度和侧重点设计具体题目申报。</w:t>
      </w:r>
      <w:r>
        <w:rPr>
          <w:rFonts w:ascii="Times New Roman" w:hAnsi="Times New Roman" w:eastAsia="仿宋_GB2312" w:cs="Times New Roman"/>
          <w:color w:val="000000" w:themeColor="text1"/>
          <w:sz w:val="32"/>
          <w:szCs w:val="32"/>
          <w14:textFill>
            <w14:solidFill>
              <w14:schemeClr w14:val="tx1"/>
            </w14:solidFill>
          </w14:textFill>
        </w:rPr>
        <w:t>其他未列出选题的学科，</w:t>
      </w:r>
      <w:r>
        <w:rPr>
          <w:rFonts w:ascii="Times New Roman" w:hAnsi="Times New Roman" w:eastAsia="仿宋_GB2312" w:cs="Times New Roman"/>
          <w:color w:val="000000" w:themeColor="text1"/>
          <w:spacing w:val="-6"/>
          <w:sz w:val="32"/>
          <w:szCs w:val="32"/>
          <w14:textFill>
            <w14:solidFill>
              <w14:schemeClr w14:val="tx1"/>
            </w14:solidFill>
          </w14:textFill>
        </w:rPr>
        <w:t>可</w:t>
      </w:r>
      <w:r>
        <w:rPr>
          <w:rFonts w:ascii="Times New Roman" w:hAnsi="Times New Roman" w:eastAsia="仿宋_GB2312" w:cs="Times New Roman"/>
          <w:color w:val="000000" w:themeColor="text1"/>
          <w:sz w:val="32"/>
          <w:szCs w:val="32"/>
          <w14:textFill>
            <w14:solidFill>
              <w14:schemeClr w14:val="tx1"/>
            </w14:solidFill>
          </w14:textFill>
        </w:rPr>
        <w:t>依据研究的主要内容，按照“相近”原则，确定学科归属。</w:t>
      </w:r>
    </w:p>
    <w:p>
      <w:pPr>
        <w:widowControl w:val="0"/>
        <w:autoSpaceDN w:val="0"/>
        <w:spacing w:line="700" w:lineRule="exact"/>
        <w:ind w:firstLine="640"/>
        <w:textAlignment w:val="center"/>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3.申请人可根据学术积累和研究兴趣，围绕深入学习贯彻习近平新时代中国特色社会主义思想、党的十九大和十九届二中、三中、四中、五中、六中全会精神</w:t>
      </w:r>
      <w:r>
        <w:rPr>
          <w:rFonts w:hint="eastAsia" w:ascii="Times New Roman" w:hAnsi="Times New Roman" w:eastAsia="仿宋_GB2312" w:cs="Times New Roman"/>
          <w:bCs/>
          <w:color w:val="000000" w:themeColor="text1"/>
          <w:kern w:val="0"/>
          <w:sz w:val="32"/>
          <w:szCs w:val="32"/>
          <w14:textFill>
            <w14:solidFill>
              <w14:schemeClr w14:val="tx1"/>
            </w14:solidFill>
          </w14:textFill>
        </w:rPr>
        <w:t>，学习</w:t>
      </w:r>
      <w:r>
        <w:rPr>
          <w:rFonts w:ascii="Times New Roman" w:hAnsi="Times New Roman" w:eastAsia="仿宋_GB2312" w:cs="Times New Roman"/>
          <w:bCs/>
          <w:color w:val="000000" w:themeColor="text1"/>
          <w:kern w:val="0"/>
          <w:sz w:val="32"/>
          <w:szCs w:val="32"/>
          <w14:textFill>
            <w14:solidFill>
              <w14:schemeClr w14:val="tx1"/>
            </w14:solidFill>
          </w14:textFill>
        </w:rPr>
        <w:t>贯彻习近平总书记</w:t>
      </w:r>
      <w:r>
        <w:rPr>
          <w:rFonts w:hint="eastAsia" w:ascii="Times New Roman" w:hAnsi="Times New Roman" w:eastAsia="仿宋_GB2312" w:cs="Times New Roman"/>
          <w:bCs/>
          <w:color w:val="000000" w:themeColor="text1"/>
          <w:kern w:val="0"/>
          <w:sz w:val="32"/>
          <w:szCs w:val="32"/>
          <w14:textFill>
            <w14:solidFill>
              <w14:schemeClr w14:val="tx1"/>
            </w14:solidFill>
          </w14:textFill>
        </w:rPr>
        <w:t>关于教</w:t>
      </w:r>
      <w:r>
        <w:rPr>
          <w:rFonts w:ascii="Times New Roman" w:hAnsi="Times New Roman" w:eastAsia="仿宋_GB2312" w:cs="Times New Roman"/>
          <w:bCs/>
          <w:color w:val="000000" w:themeColor="text1"/>
          <w:kern w:val="0"/>
          <w:sz w:val="32"/>
          <w:szCs w:val="32"/>
          <w14:textFill>
            <w14:solidFill>
              <w14:schemeClr w14:val="tx1"/>
            </w14:solidFill>
          </w14:textFill>
        </w:rPr>
        <w:t>育重要论述</w:t>
      </w:r>
      <w:r>
        <w:rPr>
          <w:rFonts w:hint="eastAsia" w:ascii="Times New Roman" w:hAnsi="Times New Roman" w:eastAsia="仿宋_GB2312" w:cs="Times New Roman"/>
          <w:bCs/>
          <w:color w:val="000000" w:themeColor="text1"/>
          <w:kern w:val="0"/>
          <w:sz w:val="32"/>
          <w:szCs w:val="32"/>
          <w14:textFill>
            <w14:solidFill>
              <w14:schemeClr w14:val="tx1"/>
            </w14:solidFill>
          </w14:textFill>
        </w:rPr>
        <w:t>和</w:t>
      </w:r>
      <w:r>
        <w:rPr>
          <w:rFonts w:ascii="Times New Roman" w:hAnsi="Times New Roman" w:eastAsia="仿宋_GB2312" w:cs="Times New Roman"/>
          <w:bCs/>
          <w:color w:val="000000" w:themeColor="text1"/>
          <w:kern w:val="0"/>
          <w:sz w:val="32"/>
          <w:szCs w:val="32"/>
          <w14:textFill>
            <w14:solidFill>
              <w14:schemeClr w14:val="tx1"/>
            </w14:solidFill>
          </w14:textFill>
        </w:rPr>
        <w:t>对重庆所</w:t>
      </w:r>
      <w:r>
        <w:rPr>
          <w:rFonts w:hint="eastAsia" w:ascii="Times New Roman" w:hAnsi="Times New Roman" w:eastAsia="仿宋_GB2312" w:cs="Times New Roman"/>
          <w:bCs/>
          <w:color w:val="000000" w:themeColor="text1"/>
          <w:kern w:val="0"/>
          <w:sz w:val="32"/>
          <w:szCs w:val="32"/>
          <w14:textFill>
            <w14:solidFill>
              <w14:schemeClr w14:val="tx1"/>
            </w14:solidFill>
          </w14:textFill>
        </w:rPr>
        <w:t>作</w:t>
      </w:r>
      <w:r>
        <w:rPr>
          <w:rFonts w:ascii="Times New Roman" w:hAnsi="Times New Roman" w:eastAsia="仿宋_GB2312" w:cs="Times New Roman"/>
          <w:bCs/>
          <w:color w:val="000000" w:themeColor="text1"/>
          <w:kern w:val="0"/>
          <w:sz w:val="32"/>
          <w:szCs w:val="32"/>
          <w14:textFill>
            <w14:solidFill>
              <w14:schemeClr w14:val="tx1"/>
            </w14:solidFill>
          </w14:textFill>
        </w:rPr>
        <w:t>系列重要指示批示精神，聚焦国家和重庆经济社会发展需要，自主选题进行申报。</w:t>
      </w:r>
    </w:p>
    <w:p>
      <w:pPr>
        <w:widowControl w:val="0"/>
        <w:autoSpaceDN w:val="0"/>
        <w:spacing w:line="700" w:lineRule="exact"/>
        <w:ind w:firstLine="640"/>
        <w:textAlignment w:val="center"/>
        <w:rPr>
          <w:rFonts w:ascii="Times New Roman" w:hAnsi="Times New Roman" w:eastAsia="仿宋_GB2312" w:cs="Times New Roman"/>
          <w:bCs/>
          <w:color w:val="000000" w:themeColor="text1"/>
          <w:kern w:val="0"/>
          <w:sz w:val="32"/>
          <w:szCs w:val="32"/>
          <w14:textFill>
            <w14:solidFill>
              <w14:schemeClr w14:val="tx1"/>
            </w14:solidFill>
          </w14:textFill>
        </w:rPr>
      </w:pPr>
      <w:r>
        <w:rPr>
          <w:rFonts w:ascii="Times New Roman" w:hAnsi="Times New Roman" w:eastAsia="仿宋_GB2312" w:cs="Times New Roman"/>
          <w:bCs/>
          <w:color w:val="000000" w:themeColor="text1"/>
          <w:kern w:val="0"/>
          <w:sz w:val="32"/>
          <w:szCs w:val="32"/>
          <w14:textFill>
            <w14:solidFill>
              <w14:schemeClr w14:val="tx1"/>
            </w14:solidFill>
          </w14:textFill>
        </w:rPr>
        <w:t>4.申报题目的表述应科学、严谨、规范、简明，一般不加副标题。</w:t>
      </w:r>
    </w:p>
    <w:p>
      <w:pPr>
        <w:spacing w:line="600" w:lineRule="exact"/>
        <w:ind w:firstLine="0" w:firstLineChars="0"/>
        <w:jc w:val="center"/>
        <w:rPr>
          <w:rFonts w:ascii="Times New Roman" w:hAnsi="Times New Roman" w:eastAsia="黑体" w:cs="Times New Roman"/>
          <w:b/>
          <w:bCs/>
          <w:color w:val="000000" w:themeColor="text1"/>
          <w:kern w:val="0"/>
          <w:sz w:val="32"/>
          <w:szCs w:val="32"/>
          <w14:textFill>
            <w14:solidFill>
              <w14:schemeClr w14:val="tx1"/>
            </w14:solidFill>
          </w14:textFill>
        </w:rPr>
      </w:pP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sectPr>
          <w:headerReference r:id="rId13" w:type="first"/>
          <w:footerReference r:id="rId16" w:type="first"/>
          <w:headerReference r:id="rId11" w:type="default"/>
          <w:footerReference r:id="rId14" w:type="default"/>
          <w:headerReference r:id="rId12" w:type="even"/>
          <w:footerReference r:id="rId15" w:type="even"/>
          <w:pgSz w:w="11906" w:h="16838"/>
          <w:pgMar w:top="1701" w:right="1418" w:bottom="1418" w:left="1418" w:header="851" w:footer="992" w:gutter="0"/>
          <w:cols w:space="425" w:num="1"/>
          <w:docGrid w:type="lines" w:linePitch="312" w:charSpace="0"/>
        </w:sectPr>
      </w:pP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14:textFill>
            <w14:solidFill>
              <w14:schemeClr w14:val="tx1"/>
            </w14:solidFill>
          </w14:textFill>
        </w:rPr>
        <w:t>党的十九届六中全会精神研究阐释</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中国共产党百年奋斗的重大成就、历史意义和深远影响研究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中国共产党在新民主主义革命时期奋斗历程、伟大成就和重大意义研究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中国共产党在社会主义革命和建设时期奋斗历程、伟大成就和重大意义研究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中国共产党在改革开放和社会主义现代化建设新时期奋斗历程、伟大成就和重大意义研究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中国特色社会主义新时代党和国家事业取得历史性成就、发生历史性变革研究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习近平新时代中国特色社会主义思想的科学内涵、历史地位和重大意义研究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习近平新时代中国特色社会主义思想对马克思主义发展的原创性贡献研究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习近平总书记关于党的历史的重要论述的核心要义与理论创新研究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马克思主义中国化“两个结合”研究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“十个明确”基本内容、核心内容及其内在逻辑研究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“十个坚持”的宝贵历史经验研究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“两个确立”的深刻内涵与重大意义研究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在高质量发展中推进共同富裕研究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发展全过程人民民主研究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中国共产党领导人民创造的人类文明新形态研究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伟大建党精神研究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立足新发展阶段、贯彻新发展理念、构建新发展格局、推动高质量发展研究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党的十八大以来全面从严治党的实践和经验研究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坚持依规治党和完善党内法规体系研究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坚持和加强党对教育工作的全面领导研究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服务中华民族伟大复兴推动教育高质量发展研究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深入实施新时代人才强市战略研究</w:t>
      </w:r>
    </w:p>
    <w:p>
      <w:pPr>
        <w:spacing w:line="240" w:lineRule="auto"/>
        <w:ind w:firstLine="0" w:firstLineChars="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br w:type="page"/>
      </w: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马克思主义理论/思想政治教育</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习近平新时代中国特色社会主义思想科学体系研究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习近平新时代中国特色社会主义思想方法论研究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习近平总书记关于科技创新的重要论述研究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习近平总书记关于社会治理的重要论述研究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习近平总书记关于构建人类卫生健康共同体的重要论述研究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习近平总书记关于人类命运共同体重要论述研究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习近平总书记关于讲政治必须提高“三种能力”的重要论述研究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习近平总书记关于坚持和发展马克思主义政治经济学的重要论述研究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中国共产党百年奋斗的精神谱系研究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中国共产党执政能力和领导水平提升途径研究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中国共产党应对国际挑战的历史经验研究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中国共产党领导高等教育基本经验研究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马克思主义基本原理及其当代价值研究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马克思主义中国化的发展历程、理论成果及基本经验研究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列宁的帝国主义理论及其当代价值研究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毛泽东思想的理论贡献及当代价值研究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当代中国马克思主义范畴体系研究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科学社会主义基本原则及其当代价值研究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中国特色社会主义现代化的理论与实践研究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加强领导干部“四史”教育研究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世界百年未有之大变局加速演变的内涵、走向与应对研究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全面建成小康社会的历史意义和世界影响研究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疫情防控与国家制度和治理体系优势研究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伟大抗疫精神融入思想政治理论课研究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新时代重庆高校党建研究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推动高校党建与高校事业发展深度融合研究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新时代高校思想政治工作守正创新研究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弘扬新时代伟大抗疫精神研究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新时代弘扬“红船精神”研究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新时代弘扬“西迁精神”研究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新时代弘扬“塞罕坝精神”研究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弘扬新时代科学家精神研究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国外学者关于习近平新时代中国特色社会主义思想的研究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当代世界社会主义运动研究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当代国外马克思主义发展研究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完善思想政治工作体系研究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新时代重庆高校意识形态治理能力提升研究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重庆推进高校课程思政与思政课程同向同行研究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推进重庆大中小学思政课一体化建设研究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推进中小学校党组织领导下的校长负责制研究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爱国主义教育的实效性与时代性研究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重庆网络意识形态传播及治理研究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重庆红色文化资源的保护、挖掘、整理、利用研究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红岩精神思想渊源、科学内涵、时代价值研究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中国共产党重庆历史研究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革命文物核心内涵和时代价值研究</w:t>
      </w:r>
    </w:p>
    <w:p>
      <w:pPr>
        <w:ind w:firstLine="64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br w:type="page"/>
      </w: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哲学</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习近平新时代中国特色社会主义思想的哲学研究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中国特色社会主义制度优越性的哲学研究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以人民为中心思想的哲学基础研究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关于高质量发展和美好生活的哲学研究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新发展理念的哲学研究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中国特色哲学学科体系学术体系话语体系研究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马克思主义哲学经典著作研究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马克思主义哲学的基本问题研究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新科技革命与马克思主义哲学发展研究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中国哲学基本概念、命题与问题研究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中国传统哲学的创造性转化和创新性发展研究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中国历史上国家治理经验与治理智慧的哲学研究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当代外国哲学思潮、流派和发展趋势研究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“一带一路”沿线国家中外哲学传播研究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伦理学基础理论与前沿问题研究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现代信息技术伦理研究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美学原理基本概念、命题与问题研究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当代科技前沿的哲学问题研究</w:t>
      </w:r>
    </w:p>
    <w:p>
      <w:pPr>
        <w:pStyle w:val="12"/>
        <w:numPr>
          <w:ilvl w:val="0"/>
          <w:numId w:val="1"/>
        </w:numPr>
        <w:adjustRightInd w:val="0"/>
        <w:spacing w:line="360" w:lineRule="auto"/>
        <w:ind w:left="502" w:hanging="502" w:firstLineChars="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sz w:val="32"/>
          <w:szCs w:val="32"/>
        </w:rPr>
        <w:t>当代逻辑学的基本问题及其学科建设研究</w:t>
      </w:r>
    </w:p>
    <w:p>
      <w:pPr>
        <w:widowControl w:val="0"/>
        <w:spacing w:line="360" w:lineRule="auto"/>
        <w:ind w:left="502" w:hanging="502" w:hangingChars="157"/>
        <w:rPr>
          <w:rFonts w:ascii="Times New Roman" w:hAnsi="Times New Roman" w:eastAsia="仿宋_GB2312" w:cs="Times New Roman"/>
          <w:color w:val="000000" w:themeColor="text1"/>
          <w:sz w:val="32"/>
          <w:szCs w:val="32"/>
          <w14:textFill>
            <w14:solidFill>
              <w14:schemeClr w14:val="tx1"/>
            </w14:solidFill>
          </w14:textFill>
        </w:rPr>
        <w:sectPr>
          <w:pgSz w:w="11906" w:h="16838"/>
          <w:pgMar w:top="1701" w:right="1418" w:bottom="1418" w:left="1418" w:header="851" w:footer="992" w:gutter="0"/>
          <w:cols w:space="425" w:num="1"/>
          <w:docGrid w:type="lines" w:linePitch="312" w:charSpace="0"/>
        </w:sectPr>
      </w:pP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政治学</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中国特色社会主义政治制度显著优势研究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加强基层社会治理研究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全面建设社会主义现代化国家的价值内涵和制度路径研究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提升国家治理能力研究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坚持和完善中国特色社会主义制度与推进国家治理体系和治理能力现代化的相互关系研究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中国特色社会主义新型政党制度优势研究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中国共产党人的自我革命与社会革命的辩证关系研究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落实全面从严治党主体责任、监督责任研究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中国共产党的政治巡视制度研究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新时期落实好干部标准的路径和机制研究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新时期加强党与人民群众密切联系的机制建设研究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推进中国特色社会主义政治制度自我完善和发展的动力机制和实际路径研究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完善防范化解重大风险体制机制研究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完善党领导基层群众自治组织的制度研究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完善对于领导干部担当作为的激励机制研究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完善宏观经济治理体系的制度路径和公共政策研究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推进数字政府建设研究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提升城乡基层治理水平和治理能力研究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马克思主义政治价值观研究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重庆建立健全巡视整改长效机制研究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重庆建立健全基层减负常态化机制研究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健全重庆基层党组织领导的基层群众自治机制研究</w:t>
      </w:r>
    </w:p>
    <w:p>
      <w:pPr>
        <w:ind w:firstLine="640"/>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br w:type="page"/>
      </w: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国际问题研究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习近平外交思想研究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习近平关于国家安全的重要论述研究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新冠肺炎疫情对全球格局变化的影响研究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新冠肺炎疫情背景下美国及世界资本主义的现状、发展趋势与对策研究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百年大变局下大国关系研究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百年大变局下中国与发展中国家关系研究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百年大变局下的中国国家安全研究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积极参与全球治理体系变革研究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“亲诚惠容”理念与中国周边战略研究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中国共产党百年对外交往经验总结与政策研究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全球数字治理与国际互联网规则研究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《区域全面经济伙伴关系协定》(RCEP)的签署、前景及其影响研究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欧洲“战略自主”与中欧关系研究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西方国家对外经济制裁行为研究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国际金融垄断现状及趋势与重庆防范化解金融风险研究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发达国家金融科技现状及趋势与重庆学习、借鉴及应对研究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“一带一路”与重庆产业“走出去”研究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重庆抢抓《区域全面经济伙伴关系协定》(RCEP)新机遇研究</w:t>
      </w: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sectPr>
          <w:pgSz w:w="11906" w:h="16838"/>
          <w:pgMar w:top="1701" w:right="1418" w:bottom="1418" w:left="1418" w:header="851" w:footer="992" w:gutter="0"/>
          <w:cols w:space="425" w:num="1"/>
          <w:docGrid w:type="lines" w:linePitch="312" w:charSpace="0"/>
        </w:sectPr>
      </w:pP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语言学</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新时代语言文明建设研究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人类命运共同体构建中的语言问题研究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国家通用语言文字与国家软实力研究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语文现代化的百年反思</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面向新时代的国民语文能力的建设与评价研究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国际汉语教育可持续发展研究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中国语言学理论专题研究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词汇类型学研究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语篇的认知研究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语言变异专题研究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中国农村语言生活的调查与研究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社会应急语言服务能力建设研究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老年社会的语言问题研究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线上语言生活研究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面向人工智能的语言脑机制研究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智能机器人的语言行为及语言伦理研究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晚清以来中外语言接触与现代汉语发展研究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近代汉字文字资料的发掘、整理与研究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区域性方言语法的调查与比较研究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方言文化保护与推广普通话关系研究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海外华语传承传播路径研究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复合型国际化高端外语人才培养的理论与实践研究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西南方言特殊语法现象的调查及其形成机制研究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重庆培养国际性人才的外语教育问题研究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重庆大中小学外语教育衔接研究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重庆方言成语、俗语、谚语、谜语调查研究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重庆方言资源保护的理论、方法与技术研究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重庆农村语言生活的调查与研究</w:t>
      </w:r>
    </w:p>
    <w:p>
      <w:pPr>
        <w:widowControl w:val="0"/>
        <w:spacing w:line="360" w:lineRule="auto"/>
        <w:ind w:left="502" w:hanging="502" w:hangingChars="157"/>
        <w:rPr>
          <w:rFonts w:ascii="Times New Roman" w:hAnsi="Times New Roman" w:eastAsia="仿宋_GB2312" w:cs="Times New Roman"/>
          <w:color w:val="000000" w:themeColor="text1"/>
          <w:sz w:val="32"/>
          <w:szCs w:val="32"/>
          <w14:textFill>
            <w14:solidFill>
              <w14:schemeClr w14:val="tx1"/>
            </w14:solidFill>
          </w14:textFill>
        </w:rPr>
      </w:pP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sectPr>
          <w:pgSz w:w="11906" w:h="16838"/>
          <w:pgMar w:top="1701" w:right="1418" w:bottom="1418" w:left="1418" w:header="851" w:footer="992" w:gutter="0"/>
          <w:cols w:space="425" w:num="1"/>
          <w:docGrid w:type="lines" w:linePitch="312" w:charSpace="0"/>
        </w:sectPr>
      </w:pP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中国文学</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习近平总书记关于文艺工作的重要论述研究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新时代文学创作“讲好中国故事”的实践研究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改革开放以来文学研究中重大理论问题史料整理与研究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中国古代文论基本文献、概念系统与话语特色研究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中国古代语文传统与文学发展关系研究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中国古代文学作家作品研究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海外中国文学史撰著的学术史研究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20世纪中国红色文艺与革命历史互动关系研究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大学文学教育研究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少数民族文学与中华民族共同体意识研究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中国当代文学中的生态意识研究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中国当代儿童文学研究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南方丝绸之路视域下的古代文学与文化文献整理研究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抗战时期重庆文学名家和作品研究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成渝地区文化互动与影视资源开发利用研究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成渝地区文学创作及批评互动关系研究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重庆校园文学创作研究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重庆少数民族影视文学研究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重庆少数民族文学儿童绘本研究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重庆当代重要作家作品外译与国际传播研究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重庆地区少数民族文学资源开发与政策研究</w:t>
      </w: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sectPr>
          <w:pgSz w:w="11906" w:h="16838"/>
          <w:pgMar w:top="1701" w:right="1418" w:bottom="1418" w:left="1418" w:header="851" w:footer="992" w:gutter="0"/>
          <w:cols w:space="425" w:num="1"/>
          <w:docGrid w:type="lines" w:linePitch="312" w:charSpace="0"/>
        </w:sectPr>
      </w:pP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外国文学</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外国文学经典的跨媒介传播研究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外国文学文体研究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外国文学文献学翻译研究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外国文学理论流派、思潮及重要批评家研究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外国民间文学研究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外国网络文学研究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外国现当代儿童文学研究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外国影视文学研究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外国海洋文学研究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外国灾难文学研究（侧重疫病、疾病书写）</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外国当代科幻文学研究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外国文学与马克思主义的中国化研究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当代西方马克思主义文艺理论研究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新世纪国外马克思主义文论发展趋势研究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国外当代文艺思潮及重要文论家研究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数字人文与外国文学研究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中国文艺思想西渐研究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全球化语境下的“世界文学”研究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比较文学跨文化的新范式研究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“一带一路”沿线国家文学中的中国书写研究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中东欧文学中的中国形象研究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国外翻译名家、汉学名家研究</w:t>
      </w:r>
    </w:p>
    <w:p>
      <w:pPr>
        <w:widowControl w:val="0"/>
        <w:spacing w:line="360" w:lineRule="auto"/>
        <w:ind w:firstLine="0" w:firstLineChars="0"/>
        <w:rPr>
          <w:rFonts w:ascii="Times New Roman" w:hAnsi="Times New Roman" w:eastAsia="黑体" w:cs="Times New Roman"/>
          <w:color w:val="000000" w:themeColor="text1"/>
          <w:kern w:val="0"/>
          <w:sz w:val="32"/>
          <w:szCs w:val="32"/>
          <w14:textFill>
            <w14:solidFill>
              <w14:schemeClr w14:val="tx1"/>
            </w14:solidFill>
          </w14:textFill>
        </w:rPr>
        <w:sectPr>
          <w:pgSz w:w="11906" w:h="16838"/>
          <w:pgMar w:top="1701" w:right="1418" w:bottom="1418" w:left="1418" w:header="851" w:footer="992" w:gutter="0"/>
          <w:cols w:space="425" w:num="1"/>
          <w:docGrid w:type="lines" w:linePitch="312" w:charSpace="0"/>
        </w:sectPr>
      </w:pP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管理学</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“十四五”时期多层次公共医疗卫生服务体系构建及运行效率研究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乡村振兴背景下新型城乡关系构建研究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哲学社会科学科研管理研究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新一代信息技术驱动企业管理转型的机理与路径研究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数字经济情境下企业动态能力与绩效关系研究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数字经济背景下协作式众包平台的价值实现机理和路径研究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平台型企业垄断问题研究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平台供应链全流程价值共创协同机制研究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全面深化国有企业混合所有制改革问题研究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人口老龄化进程中的健康技术创新研究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工业机器人使用对公司财务行为的影响及其优化策略</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区块链+制造业产能分享平台运营与治理机制研究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企业绩效期望落差对企业风险承担能力的影响研究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审计委员会治理模式下资源环境审计协同机制研究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企业信用违约的后果和财务特征识别研究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空间特征下国有资本审计监督的协调与创新研究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企业善因营销感知对顾客角色外行为影响机制研究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减税降费改革抑制企业脱实向虚的治理效果与作用机理研究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公共领域数字化服务优化升级及实现机制研究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宅基地“三权分置”及实现路径研究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耕地红线保护核查及耕地质量保障政策变革研究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多层次社会保障体系质量变革研究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人口老龄化与多层次多支柱养老保险体系研究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公共卫生应急管理政策优化及快速响应机制研究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农村电商创业生态系统运行机制与优化路径研究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返乡创业赋能乡村产业振兴的长效机制与政策研究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乡村振兴背景下家庭农场可持续创业机理研究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基于政企农协同的绿色农业发展机制和实现途径研究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农产品区域公用品牌生态系统建构研究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农产品冷链流通的高质量发展研究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乡村产业振兴中用地保障机制与实现途径研究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成渝地区双城经济圈创新创业生态系统构建研究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“十四五”时期重庆国有企业功能定位研究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“十四五”时期重庆企业发展环境变革研究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“十四五”时期重庆企业数字化转型战略研究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“十四五”时期重庆民营经济发展的关键问题研究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重庆脱贫攻坚与乡村振兴有效衔接模式及实现路径研究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RCEP框架下重庆制造业产业链和价值链重构机制及政策研究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重庆公共治理的数字化转型研究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重庆乡村振兴的动力变革及促进机制研究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数字技术驱动下的重庆制造企业服务化转型研究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重庆国有企业高质量发展问题研究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新发展格局下重庆企业管理创新与战略转型研究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重庆制造业企业供应链的低碳转型研究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突发公共事件背景下重庆企业供应链应急能力研究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新时期重庆企业“走出去”研究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提升重庆制造业基础能力问题研究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创新驱动构筑重庆企业竞争新优势研究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数字化转型下的重庆小微企业融资模式创新研究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数字普惠金融对重庆中小企业融资约束的影响路径研究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重庆小微企业的供应链融资策略研究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重庆基层医疗卫生服务绩效提升路径研究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重庆农村集体建设用地入市的制度设计和政策保障研究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重庆城乡居民就业质量提升与收入分配结构优化研究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创新促进重庆公共服务高质量发展的路径研究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重庆科技创新资源配置效率的时空演化与优化研究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重庆农业产业链融资机制及风险治理研究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劳动力就业极化对重庆农村家庭教育投资影响研究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重庆相对贫困治理效率及提升机制研究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重庆森林康养产业发展的影响机制及政策调控研究</w:t>
      </w:r>
    </w:p>
    <w:p>
      <w:pPr>
        <w:ind w:firstLine="199" w:firstLineChars="95"/>
        <w:rPr>
          <w:rFonts w:ascii="Times New Roman" w:hAnsi="Times New Roman" w:cs="Times New Roman"/>
          <w:color w:val="000000" w:themeColor="text1"/>
          <w14:textFill>
            <w14:solidFill>
              <w14:schemeClr w14:val="tx1"/>
            </w14:solidFill>
          </w14:textFill>
        </w:rPr>
        <w:sectPr>
          <w:headerReference r:id="rId19" w:type="first"/>
          <w:footerReference r:id="rId22" w:type="first"/>
          <w:headerReference r:id="rId17" w:type="default"/>
          <w:footerReference r:id="rId20" w:type="default"/>
          <w:headerReference r:id="rId18" w:type="even"/>
          <w:footerReference r:id="rId21" w:type="even"/>
          <w:pgSz w:w="11906" w:h="16838"/>
          <w:pgMar w:top="1701" w:right="1418" w:bottom="1418" w:left="1418" w:header="851" w:footer="992" w:gutter="0"/>
          <w:cols w:space="425" w:num="1"/>
          <w:docGrid w:type="lines" w:linePitch="312" w:charSpace="0"/>
        </w:sectPr>
      </w:pP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人口学</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人口负增长时代的经济社会适应和应对研究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人口老龄化背景下有效劳动供给的路径及影响机制研究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低生育水平变动趋势及政策应对的国际比较研究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家庭养育成本及其对生育的影响研究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性别平等与家庭友好型社会支持政策研究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全生命周期视角下的人口健康研究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流动老年人社会支持与社会融合研究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中国共产党人口治理理论与实践研究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家庭养育与生育支持政策构建研究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成渝地区双城经济圈人口聚集模式及其影响研究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成渝地区双城经济圈人口空间分布优化研究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重庆人口长期均衡发展指标及测度研究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重庆劳动年龄人口变动趋势与就业政策研究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重庆劳动力市场就业结构优化研究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重庆人口流入与流出的变迁及影响因素研究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重庆“一区两群”人口新变动及其经济社会影响研究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重庆“一区两群”经济发展与人口聚集研究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重庆城市化发展模式选择研究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重庆留守人口变化趋势研究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重庆农民工社会融合研究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重庆老年人力资源开发研究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重庆老年人社会参与研究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重庆社区居家养老服务运作模式研究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重庆农民工养老问题研究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重庆普惠性托育服务体系研究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重庆少数民族人口增长态势研究</w:t>
      </w:r>
    </w:p>
    <w:p>
      <w:pPr>
        <w:widowControl w:val="0"/>
        <w:spacing w:line="360" w:lineRule="auto"/>
        <w:ind w:left="502" w:hanging="502" w:hangingChars="157"/>
        <w:rPr>
          <w:rFonts w:ascii="Times New Roman" w:hAnsi="Times New Roman" w:eastAsia="仿宋_GB2312" w:cs="Times New Roman"/>
          <w:color w:val="000000" w:themeColor="text1"/>
          <w:sz w:val="32"/>
          <w:szCs w:val="32"/>
          <w14:textFill>
            <w14:solidFill>
              <w14:schemeClr w14:val="tx1"/>
            </w14:solidFill>
          </w14:textFill>
        </w:rPr>
        <w:sectPr>
          <w:pgSz w:w="11906" w:h="16838"/>
          <w:pgMar w:top="1701" w:right="1418" w:bottom="1418" w:left="1418" w:header="851" w:footer="992" w:gutter="0"/>
          <w:cols w:space="425" w:num="1"/>
          <w:docGrid w:type="lines" w:linePitch="312" w:charSpace="0"/>
        </w:sectPr>
      </w:pP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民族学</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习近平总书记关于铸牢中华民族共同体意识的重要论述研究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新时代民族法制建设研究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民族地区生态安全研究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马克思主义民族理论中国化的当代成就思想研究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中国共产党民族理论百年发展历程的基本经验研究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民族法治与民族团结进步研究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多民族互嵌社区（乡村）共建共治共享研究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各民族交往交流交融与基层社会治理共同体建设研究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基本公共服务均等化与各民族平等共享发展成就研究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共建共治共享各民族共有精神家园研究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多元一体格局中的中华民族共同体研究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近代中华民族研究的学术史研究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中国民族学知识体系的中国概念与话语研究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重庆建设民族团结进步示范区研究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重庆民族地区发展不平衡不充分问题研究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重庆民族地区巩固脱贫成果与乡村振兴有效衔接研究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重庆推进城镇化建设中的地方化、民族性文化风格研究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重庆少数民族传统村落和乡村风貌保护研究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重庆民族地区文化产业、生态旅游资源开发研究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重庆提高民族地区教育质量和水平研究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重庆各民族非物质文化遗产系统性保护、传承研究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重庆民族地区重要文化和自然遗产系统性保护研究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重庆各民族优秀传统手工艺保护和传承研究</w:t>
      </w:r>
    </w:p>
    <w:p>
      <w:pPr>
        <w:ind w:firstLine="199" w:firstLineChars="95"/>
        <w:rPr>
          <w:rFonts w:ascii="Times New Roman" w:hAnsi="Times New Roman" w:cs="Times New Roman"/>
          <w:color w:val="000000" w:themeColor="text1"/>
          <w14:textFill>
            <w14:solidFill>
              <w14:schemeClr w14:val="tx1"/>
            </w14:solidFill>
          </w14:textFill>
        </w:rPr>
        <w:sectPr>
          <w:pgSz w:w="11906" w:h="16838"/>
          <w:pgMar w:top="1701" w:right="1418" w:bottom="1418" w:left="1418" w:header="851" w:footer="992" w:gutter="0"/>
          <w:cols w:space="425" w:num="1"/>
          <w:docGrid w:type="lines" w:linePitch="312" w:charSpace="0"/>
        </w:sectPr>
      </w:pP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新闻与传播学</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习近平总书记关于互联网发展与治理的重要论述研究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维护国家意识形态安全研究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完善党和国家的舆论监督机制研究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建构主流意识形态认同的机制研究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新时代媒体行使社会监督功能的意义、困境及可行方式研究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红色文化网络传播研究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突发公共事件的国际传播及国际话语权提升策略研究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中国共产党百年新闻史研究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新时代中国特色舆论学研究体系建构研究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网络社会舆论场与现实社会舆论场的差异研究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互联网时代媒体社会功能的演化与社会责任承担的关系研究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新时代重大主题报道的融媒体叙事策略研究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新时代新闻传播人才培养模式创新研究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当代中国青年新媒体参与与政治信任研究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中国国际新闻媒体影响力研究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“健康中国”视阈下的健康传播研究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社交媒体参与抗疫社会动员中的群体效应研究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智能环境下广告领域出现的新问题及监管研究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媒介智能机器生产信息的用户认知与信任研究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智能媒体时代舆论极化的表现、规律及其治理研究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人工智能时代新闻舆论伦理问题研究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基于智能搜索的网络舆情研判与引导研究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全媒体时代网络编辑能力提升的问题及对策研究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出版业社会效益和经济效益协同机制研究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重庆发展积极健康的网络文化研究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重庆做强新型主流媒体研究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重庆发展新型文化消费模式研究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重庆全媒体传播工程建设与实施策略研究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重庆互联网信息内容安全风险及生态治理研究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重庆智能营销传播的现状与趋势研究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重庆农村地区自媒体短视频生产及其作用和影响研究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重庆老年人接触和使用智能媒体的态度和行为研究</w:t>
      </w:r>
    </w:p>
    <w:p>
      <w:pPr>
        <w:ind w:firstLine="199" w:firstLineChars="95"/>
        <w:rPr>
          <w:rFonts w:ascii="Times New Roman" w:hAnsi="Times New Roman" w:cs="Times New Roman"/>
          <w:color w:val="000000" w:themeColor="text1"/>
          <w14:textFill>
            <w14:solidFill>
              <w14:schemeClr w14:val="tx1"/>
            </w14:solidFill>
          </w14:textFill>
        </w:rPr>
        <w:sectPr>
          <w:pgSz w:w="11906" w:h="16838"/>
          <w:pgMar w:top="1701" w:right="1418" w:bottom="1418" w:left="1418" w:header="851" w:footer="992" w:gutter="0"/>
          <w:cols w:space="425" w:num="1"/>
          <w:docGrid w:type="lines" w:linePitch="312" w:charSpace="0"/>
        </w:sectPr>
      </w:pP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图书情报文献学</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中国社会科学论文国际化进程与影响因素研究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社会化媒体时代有声阅读对青年价值观形成的影响研究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数字资源知识共享与知识再利用模式与方法研究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民国时期图书馆学人手稿整理与研究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情报刻画的理论与实践研究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新时期产业技术情报服务方法体系研究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面向创新生态链的科技报告管理模式与服务体系创新</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区块链中用户数据的合规利用与隐私风险研究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电子商务智能推荐中的用户隐私风险与保护机制研究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基于论证结构的科技文献语义组织研究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新时代图书情报学研究方法论研究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社交媒体情境下用户信息行为研究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知识管理与知识服务研究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学校图书馆阅读服务转型研究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重庆图书馆纸质资源与数字资源综合利用研究</w:t>
      </w:r>
    </w:p>
    <w:p>
      <w:pPr>
        <w:ind w:firstLine="199" w:firstLineChars="95"/>
        <w:rPr>
          <w:rFonts w:ascii="Times New Roman" w:hAnsi="Times New Roman" w:cs="Times New Roman"/>
          <w:color w:val="000000" w:themeColor="text1"/>
          <w14:textFill>
            <w14:solidFill>
              <w14:schemeClr w14:val="tx1"/>
            </w14:solidFill>
          </w14:textFill>
        </w:rPr>
        <w:sectPr>
          <w:pgSz w:w="11906" w:h="16838"/>
          <w:pgMar w:top="1701" w:right="1418" w:bottom="1418" w:left="1418" w:header="851" w:footer="992" w:gutter="0"/>
          <w:cols w:space="425" w:num="1"/>
          <w:docGrid w:type="lines" w:linePitch="312" w:charSpace="0"/>
        </w:sectPr>
      </w:pP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教育学/心理学</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习近平总书记关于教育重要论述研究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中国共产党百年教育方针研究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中国特色现代教育学体系发展与创新研究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新时代教育强国实施路径研究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推进教育现代化与教育信息技术发展研究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推进立德树人根本任务全面落实研究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弘扬师德师风促进教师队伍建设研究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推进基础教育公平优质发展研究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增强职业教育服务经济社会发展的能力研究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提升高等教育高质量发展水平研究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完善服务全民终身学习的教育体系研究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打造高素质专业化创新型教师队伍研究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提高智慧教育创新发展能力研究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促进区域教育协调发展研究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加强跨区域教育协同发展与交流合作研究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构建教育对外开放新格局研究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深化教育重点领域综合改革研究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未来学校组织形态与制度重构的理论与实践研究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新时代教育公平的重点问题与政策体系研究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教材建设国家事权的基本理论及权责机制研究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义务教育学业负担综合治理研究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“破五唯”背景下高校教师评价体系研究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全面加强和改进学生心理健康教育研究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培育学生积极心理品质研究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学生培养的育德育心教育方式研究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心理知识普及课程模式创新研究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深化新时代重庆教育评价改革的实施路径研究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新时代重庆研究生教育高质量发展研究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重庆学校家庭社会协同育人机制研究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新格局下重庆高等教育供需预测与结构调整研究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重庆落实科研绩效改革研究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乡村振兴和教育现代化背景下重庆农村教育发展战略研究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重庆以教育新基建支撑高质量教育体系建设研究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重庆职业教育混合所有制改革研究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“一带一路”倡议下重庆教育对外开放研究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重庆线上与线下教育融合难点与突破路径研究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新一轮科技革命背景下重庆教师素养及培养体系研究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“双减”背景下重庆中小学生培养研究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“双减”后重庆培训教师职业转型发展研究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“双减”背景下减轻教师负担的实践路径研究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重庆高校毕业生就业与产业需求对接研究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服务全民终身学习视域下重庆社区教育体系研究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重庆青少年心理健康问题的预防及干预机制研究</w:t>
      </w:r>
    </w:p>
    <w:p>
      <w:pPr>
        <w:widowControl w:val="0"/>
        <w:spacing w:line="360" w:lineRule="auto"/>
        <w:ind w:firstLine="0" w:firstLineChars="0"/>
        <w:rPr>
          <w:rFonts w:ascii="Times New Roman" w:hAnsi="Times New Roman" w:eastAsia="仿宋_GB2312" w:cs="Times New Roman"/>
          <w:color w:val="000000" w:themeColor="text1"/>
          <w:sz w:val="32"/>
          <w:szCs w:val="32"/>
          <w14:textFill>
            <w14:solidFill>
              <w14:schemeClr w14:val="tx1"/>
            </w14:solidFill>
          </w14:textFill>
        </w:rPr>
        <w:sectPr>
          <w:pgSz w:w="11906" w:h="16838"/>
          <w:pgMar w:top="1701" w:right="1418" w:bottom="1418" w:left="1418" w:header="851" w:footer="992" w:gutter="0"/>
          <w:cols w:space="425" w:num="1"/>
          <w:docGrid w:type="lines" w:linePitch="312" w:charSpace="0"/>
        </w:sectPr>
      </w:pP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体育学</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习近平总书记关于体育工作重要论述研究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新时代人民的体育需求与体育发展不平衡、不充分的矛盾研究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体育学基本理论问题研究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新时代体育治理体系与治理能力现代化研究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大数据与智能体育在全民健身中的应用研究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运动促进青少年体质健康创新研究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“十四五”时期重庆体育高质量发展研究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新时代重庆竞技体育综合治理研究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新时代重庆“体教融合”发展研究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重庆体育促进人民生活高水平发展研究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重庆“一校一品”“一校多品”学校体育模式研究</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bookmarkStart w:id="0" w:name="_Toc60086866"/>
      <w:r>
        <w:rPr>
          <w:rFonts w:ascii="Times New Roman" w:hAnsi="Times New Roman" w:eastAsia="黑体" w:cs="Times New Roman"/>
          <w:color w:val="000000" w:themeColor="text1"/>
          <w:kern w:val="0"/>
          <w:sz w:val="32"/>
          <w:szCs w:val="32"/>
          <w14:textFill>
            <w14:solidFill>
              <w14:schemeClr w14:val="tx1"/>
            </w14:solidFill>
          </w14:textFill>
        </w:rPr>
        <w:t>历史</w:t>
      </w:r>
      <w:bookmarkEnd w:id="0"/>
      <w:r>
        <w:rPr>
          <w:rFonts w:ascii="Times New Roman" w:hAnsi="Times New Roman" w:eastAsia="黑体" w:cs="Times New Roman"/>
          <w:color w:val="000000" w:themeColor="text1"/>
          <w:kern w:val="0"/>
          <w:sz w:val="32"/>
          <w:szCs w:val="32"/>
          <w14:textFill>
            <w14:solidFill>
              <w14:schemeClr w14:val="tx1"/>
            </w14:solidFill>
          </w14:textFill>
        </w:rPr>
        <w:t>学</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习近平总书记关于历史科学的重要论述研究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中国共产党建党百年与中华民族复兴进程研究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中国马克思主义史学的理论成就研究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马克思主义历史理论发展史研究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当代中国化马克思主义历史理论研究 </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近代以来世界大变局研究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世界各国应对人口老龄化国家战略的历史考察研究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国际关系史专题研究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中华民族共同体不同历史时期的民族观念研究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中国历代社会的经济结构及其演变研究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近代中外企业竞争与合作研究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历史时期重大疾疫及社会应对综合研究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世界史前沿及热点问题研究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中国与东南亚诸国关系史研究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中国历代国家治理史研究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当代国际热点问题的历史考察研究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国别区域史专题研究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近代西南地区城乡关系研究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当代西南地区农村基层社会史资料的收集、整理与研究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地理格局与中国西南地区历史演进研究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历代西南地权研究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长江流域史专题研究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重庆地区历代县域治理研究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近代重庆的乡村治理政策研究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近代社会变迁视野下的重庆地方志研究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抗战时期根据地乡村治理模式研究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抗战时期美国政府对华经济调查研究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抗战时期中国战场与其他亚太战场的互动研究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近代以来重庆市工业化与城市发展研究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重庆教育发展史研究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重庆著名教育家研究</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bookmarkStart w:id="1" w:name="_Toc60086868"/>
      <w:r>
        <w:rPr>
          <w:rFonts w:ascii="Times New Roman" w:hAnsi="Times New Roman" w:eastAsia="黑体" w:cs="Times New Roman"/>
          <w:color w:val="000000" w:themeColor="text1"/>
          <w:kern w:val="0"/>
          <w:sz w:val="32"/>
          <w:szCs w:val="32"/>
          <w14:textFill>
            <w14:solidFill>
              <w14:schemeClr w14:val="tx1"/>
            </w14:solidFill>
          </w14:textFill>
        </w:rPr>
        <w:t>考古学</w:t>
      </w:r>
      <w:bookmarkEnd w:id="1"/>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中国考古学各领域百年发展历程回顾研究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中国考古、文博专业人才培养现状及发展战略研究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中国考古学前沿问题研究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丝绸之路（陆路、海路）文化交流研究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长江流域旧石器时代遗存研究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长江流域与周围地区古代文化交流互动的考古学研究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西南地区新旧石器时代过渡遗存研究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西南地区新石器时代聚落研究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基于考古资料的西南地区古代艺术研究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考古资料所见西南地区部族与中原王朝关系研究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中华文明多元一体格局形成过程中巴蜀文化的作用与贡献</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巴蜀文化的祭祀研究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巴蜀文化的宗教遗存研究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重庆地区古代商业与贸易研究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重庆地区重要考古遗址、墓葬及出土文字资料的整理与研究</w:t>
      </w:r>
    </w:p>
    <w:p>
      <w:pPr>
        <w:ind w:firstLine="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经济学</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习近平新时代中国特色社会主义经济思想体系研究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习近平总书记关于高质量发展重要论述研究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习近平总书记关于国有经济重要论述研究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中国特色社会主义政治经济学理论体系研究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中国共产党百年政治经济学创新研究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中国共产党百年经济实践与经济发展规律研究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构建以国内大循环为主体、国内国际双循环相互促进的新发展格局研究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推进共同富裕的理论与实践研究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高标准市场体系建设研究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构建完整内需体系研究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就业质量提升机制研究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乡村振兴与户籍改革协调研究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公平导向的收入再分配机制研究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生育政策调整对劳动力市场影响研究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大数据时代的平台竞争与规制研究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数字经济反垄断研究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混合所有制企业的治理机制研究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全球化和逆全球化交替前行的深层次原因和机理研究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世界经济整体视角中的中国角色与定位研究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“双循环”新发展格局下中国现代服务业高质量发展研究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中国制造业外迁态势、经济影响与对策研究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经济下行期实现高质量发展研究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公有经济与非公经济共同发展研究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构建中国特色城乡融合发展新格局的政治经济学研究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新时代经济体系优化升级研究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新时代构建高水平社会主义市场经济体制研究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国内国际双循环背景下成渝地区双城经济圈高质量发展研究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“十四五”时期重庆推动成渝地区双城经济圈建设研究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“十四五”时期重庆加快建设“两中心”“两地”研究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“十四五”时期释放“一区两群”空间布局优化效应研究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“十四五”时期重庆深化重点领域和关键环节改革研究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成渝地区双城经济圈的协同发展研究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成渝地区双城经济圈的数字经济发展研究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重庆融入共建“一带一路”和长江经济带研究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重庆实现共同富裕的路径研究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碳中和目标下重庆可再生能源研究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重庆提升产业链、供应链现代化水平研究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重庆推动数字产业化和产业数字化机制研究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国内国际双循环背景下重庆制造业转型升级研究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优化重庆新型基础设施建设研究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重庆县域高质量发展的实现路径与评价体系研究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重庆建设国家城乡融合发展试验区研究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重庆巩固拓展脱贫攻坚成果长效机制研究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重庆推动脱贫战略与乡村振兴有效衔接研究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重庆优化营商环境研究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重庆高标准市场体系建设研究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重庆主动参与全球产业链重塑研究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重庆打造内陆高质量外资集聚地研究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重庆国际消费中心城市建设研究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重庆推动现代服务业同先进制造业、现代农业深度融合研究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重庆现代金融体系构建研究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重庆支持民营企业创新政策研究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重庆智慧城市建设问题研究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重庆智慧农业问题研究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重庆现代山地特色高效农业发展研究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重庆新经济业态研究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重庆高校科技创新的理论与实践研究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重庆主城都市区中部历史母城建设研究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重庆主城都市区东部生态之城建设研究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重庆主城都市区西部科学之城建设研究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重庆主城都市区南部人文之城建设研究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重庆主城都市区北部智慧之城建设研究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重庆旅游经济发展研究</w:t>
      </w:r>
    </w:p>
    <w:p>
      <w:pPr>
        <w:ind w:firstLine="640"/>
        <w:rPr>
          <w:rFonts w:ascii="Times New Roman" w:hAnsi="Times New Roman" w:eastAsia="仿宋" w:cs="Times New Roman"/>
          <w:color w:val="333333"/>
          <w:sz w:val="32"/>
          <w:szCs w:val="32"/>
          <w:shd w:val="clear" w:color="auto" w:fill="FFFFFF"/>
        </w:rPr>
      </w:pPr>
      <w:r>
        <w:rPr>
          <w:rFonts w:ascii="Times New Roman" w:hAnsi="Times New Roman" w:eastAsia="仿宋" w:cs="Times New Roman"/>
          <w:color w:val="333333"/>
          <w:sz w:val="32"/>
          <w:szCs w:val="32"/>
          <w:shd w:val="clear" w:color="auto" w:fill="FFFFFF"/>
        </w:rPr>
        <w:br w:type="page"/>
      </w: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bookmarkStart w:id="2" w:name="_Toc60086859"/>
      <w:r>
        <w:rPr>
          <w:rFonts w:ascii="Times New Roman" w:hAnsi="Times New Roman" w:eastAsia="黑体" w:cs="Times New Roman"/>
          <w:color w:val="000000" w:themeColor="text1"/>
          <w:kern w:val="0"/>
          <w:sz w:val="32"/>
          <w:szCs w:val="32"/>
          <w14:textFill>
            <w14:solidFill>
              <w14:schemeClr w14:val="tx1"/>
            </w14:solidFill>
          </w14:textFill>
        </w:rPr>
        <w:t>统计学</w:t>
      </w:r>
      <w:bookmarkEnd w:id="2"/>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中国工业企业生产率差异分解研究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中国居民消费潜力多维测度及政策优化研究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中国数字经济统计研究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居民网购消费碳足迹核算研究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重大突发公共安全事件预警及应对的统计研究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统计学的学科与专业体系研究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“智慧统计”研究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中国经济双循环中的统计问题研究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中国产业链安全性评估研究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经济活动中系统性风险的识别、测度与评价方法研究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数字化转型条件下国民经济核算理论与方法改革研究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新经济调查理论方法及应用研究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新时代教育评价改革统计问题研究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新一代信息技术在统计调查中的应用研究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地方政府治理绩效及其测度方法研究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成渝地区双城经济圈统计监测与指标体系构建研究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重庆高质量发展的测度与评估研究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重庆高品质生活的测度与评估研究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重庆“十四五”规划实现进程的统计监测</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重庆2035年基本实现社会主义现代化进程的统计研究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重庆产业链供应链现代化测度及优化升级研究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重庆绿色发展水平测度及提升路径研究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重庆农业高质量发展的统计测度与实现路径研究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重庆居民健康综合评价研究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重庆老龄化问题的统计测度与评价研究</w:t>
      </w:r>
    </w:p>
    <w:p>
      <w:pPr>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br w:type="page"/>
      </w: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bookmarkStart w:id="3" w:name="_Toc60086862"/>
      <w:r>
        <w:rPr>
          <w:rFonts w:ascii="Times New Roman" w:hAnsi="Times New Roman" w:eastAsia="黑体" w:cs="Times New Roman"/>
          <w:color w:val="000000" w:themeColor="text1"/>
          <w:kern w:val="0"/>
          <w:sz w:val="32"/>
          <w:szCs w:val="32"/>
          <w14:textFill>
            <w14:solidFill>
              <w14:schemeClr w14:val="tx1"/>
            </w14:solidFill>
          </w14:textFill>
        </w:rPr>
        <w:t>社会学</w:t>
      </w:r>
      <w:bookmarkEnd w:id="3"/>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习近平总书记关于社会治理重要论述研究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中国社会研究方法创新研究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农村社区组织体系建设研究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城市化进程下的社会正义问题研究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儿童友好社区研究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大数据与应急管理的社会学研究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渐进延迟退休年龄的社会学研究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未成年人保护的困境、问题与对策研究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大学生身心健康的社会学研究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2021-2035年中国社会现代化指标体系研究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我国中长期收入分配差距变迁与共同富裕战略的社会学研究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公益慈善与社会政策研究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社会救助机制多元化研究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退役军人社会适应与社会融入研究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老龄友好社会研究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“十四五”时期重庆社会结构改进研究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重庆传统村落文化保护的社会学研究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新时代重庆农村家庭婚姻问题研究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重庆健全志愿服务体系研究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重庆保障房小区治理困境与对策研究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重庆农民工返乡创业与乡村振兴的联动机制研究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重庆家庭结构变迁与社会流动研究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重庆乡村治理现代化研究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重庆乡村振兴与新型城镇化融合发展研究</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bookmarkStart w:id="4" w:name="_Toc60086861"/>
      <w:r>
        <w:rPr>
          <w:rFonts w:ascii="Times New Roman" w:hAnsi="Times New Roman" w:eastAsia="黑体" w:cs="Times New Roman"/>
          <w:color w:val="000000" w:themeColor="text1"/>
          <w:kern w:val="0"/>
          <w:sz w:val="32"/>
          <w:szCs w:val="32"/>
          <w14:textFill>
            <w14:solidFill>
              <w14:schemeClr w14:val="tx1"/>
            </w14:solidFill>
          </w14:textFill>
        </w:rPr>
        <w:t>法学</w:t>
      </w:r>
      <w:bookmarkEnd w:id="4"/>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习近平法治思想研究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完善以宪法为核心的中国特色社会主义法律体系研究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全面依法治国的理论与实践研究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新发展理念法制化保障研究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防止行政不作为、乱作为研究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网络直播营销的法律问题研究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要素市场化配置改革法治保障研究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公共卫生治理的法律问题研究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公平分配与消费升级法律问题研究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重大政策评估法律制度研究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完善国家应急管理体系研究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政府职能转变法律保障研究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公司治理制度改革与完善研究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侵犯公民个人信息罪研究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新时代宏观调控制度体系化研究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数字经济时代竞争法问题研究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防范金融风险与金融监管法体系化研究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“一带一路”合作中的争端预防和解决机制研究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区域全面经济伙伴关系协定（RCEP）实施中的问题研究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长江经济带的环境法治问题研究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推动成渝地区双城经济圈协调发展的法律问题研究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重庆乡镇、街道行政执法研究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重庆司法公信力与人民群众满意度研究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重庆市重大政策评估法治制度研究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重庆优化营商环境法治保障研究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重庆现代化经济体系建设的法律问题研究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重庆消除相对贫困的法治保障研究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重庆农村“三变”改革法治化研究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重庆推动区域协调发展法律问题研究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重庆融入新发展格局的地方立法保障研究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重庆智慧司法建设的法治保障研究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依法治校的理论与实践研究</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2"/>
        <w:spacing w:before="0" w:after="0" w:line="360" w:lineRule="auto"/>
        <w:ind w:firstLine="0" w:firstLineChars="0"/>
        <w:jc w:val="center"/>
        <w:rPr>
          <w:rFonts w:ascii="Times New Roman" w:hAnsi="Times New Roman" w:eastAsia="黑体" w:cs="Times New Roman"/>
          <w:color w:val="000000" w:themeColor="text1"/>
          <w:kern w:val="0"/>
          <w:sz w:val="32"/>
          <w:szCs w:val="32"/>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艺术学</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艺术学理论学科发展研究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重庆艺术家研究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川剧与巴渝文化关系研究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重庆影视艺术研究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重庆影视产业研究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重庆影视人才培养现状及发展研究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重庆优秀传统音乐文化的传承与创新研究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重庆音乐美学史研究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重庆舞蹈文化研究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重庆美术史研究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重庆雕塑艺术研究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重庆书法艺术研究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重庆建筑艺术研究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重庆先锋艺术研究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重庆工业设计研究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重庆艺术设计产业发展研究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重庆城市公共环境景观设计研究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重庆城市形象设计研究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重庆促进数字创意产业发展的政策研究</w:t>
      </w:r>
    </w:p>
    <w:p>
      <w:pPr>
        <w:pStyle w:val="12"/>
        <w:numPr>
          <w:ilvl w:val="0"/>
          <w:numId w:val="1"/>
        </w:numPr>
        <w:adjustRightInd w:val="0"/>
        <w:spacing w:line="360" w:lineRule="auto"/>
        <w:ind w:firstLineChars="0"/>
        <w:rPr>
          <w:rFonts w:ascii="Times New Roman" w:hAnsi="Times New Roman" w:eastAsia="仿宋_GB2312"/>
          <w:sz w:val="32"/>
          <w:szCs w:val="32"/>
        </w:rPr>
      </w:pPr>
      <w:r>
        <w:rPr>
          <w:rFonts w:ascii="Times New Roman" w:hAnsi="Times New Roman" w:eastAsia="仿宋_GB2312"/>
          <w:sz w:val="32"/>
          <w:szCs w:val="32"/>
        </w:rPr>
        <w:t>西南地区少数民族艺术观念研究</w:t>
      </w:r>
    </w:p>
    <w:sectPr>
      <w:pgSz w:w="11906" w:h="16838"/>
      <w:pgMar w:top="1701"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firstLine="360"/>
      <w:rPr>
        <w:rStyle w:val="8"/>
      </w:rPr>
    </w:pPr>
    <w:r>
      <w:fldChar w:fldCharType="begin"/>
    </w:r>
    <w:r>
      <w:rPr>
        <w:rStyle w:val="8"/>
      </w:rPr>
      <w:instrText xml:space="preserve">PAGE  </w:instrText>
    </w:r>
    <w:r>
      <w:fldChar w:fldCharType="separate"/>
    </w:r>
    <w:r>
      <w:rPr>
        <w:rStyle w:val="8"/>
      </w:rPr>
      <w:t xml:space="preserve"> </w:t>
    </w:r>
    <w:r>
      <w:fldChar w:fldCharType="end"/>
    </w:r>
  </w:p>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16590"/>
    <w:multiLevelType w:val="multilevel"/>
    <w:tmpl w:val="78616590"/>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E5"/>
    <w:rsid w:val="00003043"/>
    <w:rsid w:val="0004377E"/>
    <w:rsid w:val="000577CC"/>
    <w:rsid w:val="00063AF6"/>
    <w:rsid w:val="000709F6"/>
    <w:rsid w:val="000778AF"/>
    <w:rsid w:val="000B1345"/>
    <w:rsid w:val="000C5F06"/>
    <w:rsid w:val="000D2D45"/>
    <w:rsid w:val="000E6EB0"/>
    <w:rsid w:val="00101198"/>
    <w:rsid w:val="001037C4"/>
    <w:rsid w:val="00106E84"/>
    <w:rsid w:val="0012304C"/>
    <w:rsid w:val="001244E0"/>
    <w:rsid w:val="001402A1"/>
    <w:rsid w:val="00146FD4"/>
    <w:rsid w:val="00176C2E"/>
    <w:rsid w:val="0018118D"/>
    <w:rsid w:val="001A7726"/>
    <w:rsid w:val="001B2D58"/>
    <w:rsid w:val="001B3986"/>
    <w:rsid w:val="001B659A"/>
    <w:rsid w:val="001C0BBD"/>
    <w:rsid w:val="001E18CD"/>
    <w:rsid w:val="001F6067"/>
    <w:rsid w:val="0020709E"/>
    <w:rsid w:val="0021543C"/>
    <w:rsid w:val="0023031A"/>
    <w:rsid w:val="00240E05"/>
    <w:rsid w:val="00244BE4"/>
    <w:rsid w:val="0026000D"/>
    <w:rsid w:val="0028494D"/>
    <w:rsid w:val="0029016E"/>
    <w:rsid w:val="002978AA"/>
    <w:rsid w:val="002A69FA"/>
    <w:rsid w:val="002B76EF"/>
    <w:rsid w:val="002D1E72"/>
    <w:rsid w:val="002D5688"/>
    <w:rsid w:val="002D5D9F"/>
    <w:rsid w:val="00312657"/>
    <w:rsid w:val="003253F0"/>
    <w:rsid w:val="00336DF3"/>
    <w:rsid w:val="00340871"/>
    <w:rsid w:val="003450FC"/>
    <w:rsid w:val="0036785D"/>
    <w:rsid w:val="00374145"/>
    <w:rsid w:val="003A17DA"/>
    <w:rsid w:val="003B0C15"/>
    <w:rsid w:val="003B46D0"/>
    <w:rsid w:val="003B5DCB"/>
    <w:rsid w:val="003C3A33"/>
    <w:rsid w:val="003C6AEB"/>
    <w:rsid w:val="003E4DDE"/>
    <w:rsid w:val="00401DE5"/>
    <w:rsid w:val="00422847"/>
    <w:rsid w:val="00441DD6"/>
    <w:rsid w:val="00452270"/>
    <w:rsid w:val="00467D9D"/>
    <w:rsid w:val="00493E34"/>
    <w:rsid w:val="004A3B36"/>
    <w:rsid w:val="004B115D"/>
    <w:rsid w:val="004B1639"/>
    <w:rsid w:val="004B34CF"/>
    <w:rsid w:val="004D5A54"/>
    <w:rsid w:val="004E48A8"/>
    <w:rsid w:val="004E5DCB"/>
    <w:rsid w:val="004F1DA7"/>
    <w:rsid w:val="00522477"/>
    <w:rsid w:val="00532955"/>
    <w:rsid w:val="005402DC"/>
    <w:rsid w:val="0054062C"/>
    <w:rsid w:val="005436C9"/>
    <w:rsid w:val="005450D1"/>
    <w:rsid w:val="00547ADE"/>
    <w:rsid w:val="00552988"/>
    <w:rsid w:val="005544A0"/>
    <w:rsid w:val="00562D5B"/>
    <w:rsid w:val="005666BE"/>
    <w:rsid w:val="00594936"/>
    <w:rsid w:val="005A6127"/>
    <w:rsid w:val="005B3C7D"/>
    <w:rsid w:val="005B6444"/>
    <w:rsid w:val="005D0E3F"/>
    <w:rsid w:val="005D6D04"/>
    <w:rsid w:val="005F5D82"/>
    <w:rsid w:val="005F616E"/>
    <w:rsid w:val="00600D81"/>
    <w:rsid w:val="0060498A"/>
    <w:rsid w:val="006067B8"/>
    <w:rsid w:val="00611759"/>
    <w:rsid w:val="00644D26"/>
    <w:rsid w:val="00645AE5"/>
    <w:rsid w:val="006477F9"/>
    <w:rsid w:val="00652DFC"/>
    <w:rsid w:val="0066621A"/>
    <w:rsid w:val="006730CC"/>
    <w:rsid w:val="0067606B"/>
    <w:rsid w:val="00681AA5"/>
    <w:rsid w:val="00681C2D"/>
    <w:rsid w:val="00692D44"/>
    <w:rsid w:val="006A51F5"/>
    <w:rsid w:val="006B19F3"/>
    <w:rsid w:val="006B2B55"/>
    <w:rsid w:val="006C72D9"/>
    <w:rsid w:val="00711A6F"/>
    <w:rsid w:val="00724ED7"/>
    <w:rsid w:val="0072737E"/>
    <w:rsid w:val="00727D3A"/>
    <w:rsid w:val="00733E6F"/>
    <w:rsid w:val="00760268"/>
    <w:rsid w:val="007746C7"/>
    <w:rsid w:val="007769C8"/>
    <w:rsid w:val="00781E00"/>
    <w:rsid w:val="00792064"/>
    <w:rsid w:val="0079606F"/>
    <w:rsid w:val="007B7A80"/>
    <w:rsid w:val="007E5DA8"/>
    <w:rsid w:val="007E7411"/>
    <w:rsid w:val="007F5D00"/>
    <w:rsid w:val="008165DF"/>
    <w:rsid w:val="008341DE"/>
    <w:rsid w:val="008367CF"/>
    <w:rsid w:val="00843B34"/>
    <w:rsid w:val="0086508F"/>
    <w:rsid w:val="00872BC2"/>
    <w:rsid w:val="0087535A"/>
    <w:rsid w:val="00875F31"/>
    <w:rsid w:val="00883019"/>
    <w:rsid w:val="008929BD"/>
    <w:rsid w:val="00895CD0"/>
    <w:rsid w:val="008B4114"/>
    <w:rsid w:val="008C6C0F"/>
    <w:rsid w:val="008E060C"/>
    <w:rsid w:val="008F7B36"/>
    <w:rsid w:val="00902865"/>
    <w:rsid w:val="0092099E"/>
    <w:rsid w:val="0093282C"/>
    <w:rsid w:val="009405E8"/>
    <w:rsid w:val="0094633F"/>
    <w:rsid w:val="0097062F"/>
    <w:rsid w:val="00973E2A"/>
    <w:rsid w:val="00975279"/>
    <w:rsid w:val="00981FD7"/>
    <w:rsid w:val="009845AE"/>
    <w:rsid w:val="00990976"/>
    <w:rsid w:val="009B243C"/>
    <w:rsid w:val="009B2A29"/>
    <w:rsid w:val="009C5C9C"/>
    <w:rsid w:val="009E783B"/>
    <w:rsid w:val="00A1279E"/>
    <w:rsid w:val="00A13DAA"/>
    <w:rsid w:val="00A37E36"/>
    <w:rsid w:val="00A40764"/>
    <w:rsid w:val="00A40EB5"/>
    <w:rsid w:val="00A5046B"/>
    <w:rsid w:val="00A72980"/>
    <w:rsid w:val="00A82243"/>
    <w:rsid w:val="00A84D59"/>
    <w:rsid w:val="00AA2E3E"/>
    <w:rsid w:val="00AA46D6"/>
    <w:rsid w:val="00AB5A72"/>
    <w:rsid w:val="00AC66E1"/>
    <w:rsid w:val="00AD627D"/>
    <w:rsid w:val="00B01547"/>
    <w:rsid w:val="00B0439E"/>
    <w:rsid w:val="00B14BDD"/>
    <w:rsid w:val="00B2062C"/>
    <w:rsid w:val="00B30ED8"/>
    <w:rsid w:val="00B320B2"/>
    <w:rsid w:val="00B461FB"/>
    <w:rsid w:val="00B5304A"/>
    <w:rsid w:val="00B61FEB"/>
    <w:rsid w:val="00B87669"/>
    <w:rsid w:val="00BA56BC"/>
    <w:rsid w:val="00BB3D1A"/>
    <w:rsid w:val="00BC007D"/>
    <w:rsid w:val="00BE1C10"/>
    <w:rsid w:val="00BE6460"/>
    <w:rsid w:val="00BF13A8"/>
    <w:rsid w:val="00C11547"/>
    <w:rsid w:val="00C26775"/>
    <w:rsid w:val="00C325C8"/>
    <w:rsid w:val="00C32BD0"/>
    <w:rsid w:val="00C51EF7"/>
    <w:rsid w:val="00C67FA5"/>
    <w:rsid w:val="00C81C40"/>
    <w:rsid w:val="00CA459C"/>
    <w:rsid w:val="00CB11E7"/>
    <w:rsid w:val="00CD13ED"/>
    <w:rsid w:val="00CD71A6"/>
    <w:rsid w:val="00CE29FD"/>
    <w:rsid w:val="00CE5415"/>
    <w:rsid w:val="00CF4E90"/>
    <w:rsid w:val="00D0033C"/>
    <w:rsid w:val="00D02A34"/>
    <w:rsid w:val="00D328AE"/>
    <w:rsid w:val="00D40C4F"/>
    <w:rsid w:val="00D4286F"/>
    <w:rsid w:val="00D45616"/>
    <w:rsid w:val="00D519CB"/>
    <w:rsid w:val="00D54E42"/>
    <w:rsid w:val="00D73097"/>
    <w:rsid w:val="00D73364"/>
    <w:rsid w:val="00D93EF6"/>
    <w:rsid w:val="00DB6163"/>
    <w:rsid w:val="00DC43BB"/>
    <w:rsid w:val="00DD58FE"/>
    <w:rsid w:val="00DD6285"/>
    <w:rsid w:val="00DF70A2"/>
    <w:rsid w:val="00DF7287"/>
    <w:rsid w:val="00DF793E"/>
    <w:rsid w:val="00E12BFC"/>
    <w:rsid w:val="00E1419B"/>
    <w:rsid w:val="00E53308"/>
    <w:rsid w:val="00E711C1"/>
    <w:rsid w:val="00EA2B3D"/>
    <w:rsid w:val="00EC01A5"/>
    <w:rsid w:val="00EF5068"/>
    <w:rsid w:val="00F01B2F"/>
    <w:rsid w:val="00F1050B"/>
    <w:rsid w:val="00F20DFF"/>
    <w:rsid w:val="00F243F2"/>
    <w:rsid w:val="00F35B9E"/>
    <w:rsid w:val="00FA2371"/>
    <w:rsid w:val="00FB07CE"/>
    <w:rsid w:val="00FC5787"/>
    <w:rsid w:val="00FD2F96"/>
    <w:rsid w:val="016D5D29"/>
    <w:rsid w:val="024E31BD"/>
    <w:rsid w:val="025C1B4A"/>
    <w:rsid w:val="04580A1A"/>
    <w:rsid w:val="045D34D3"/>
    <w:rsid w:val="0461592E"/>
    <w:rsid w:val="051214B4"/>
    <w:rsid w:val="070D3849"/>
    <w:rsid w:val="07C90B71"/>
    <w:rsid w:val="08BD61C8"/>
    <w:rsid w:val="08FE5039"/>
    <w:rsid w:val="0A5058B9"/>
    <w:rsid w:val="0A936C5D"/>
    <w:rsid w:val="0B375294"/>
    <w:rsid w:val="0B602217"/>
    <w:rsid w:val="0B71230C"/>
    <w:rsid w:val="0B715836"/>
    <w:rsid w:val="0B727457"/>
    <w:rsid w:val="0CA06E61"/>
    <w:rsid w:val="0D607BF6"/>
    <w:rsid w:val="0D7F7F7A"/>
    <w:rsid w:val="0EC3267E"/>
    <w:rsid w:val="0EF625AC"/>
    <w:rsid w:val="0F8E1EB6"/>
    <w:rsid w:val="104977A5"/>
    <w:rsid w:val="10A90F6E"/>
    <w:rsid w:val="10C929EA"/>
    <w:rsid w:val="110E5584"/>
    <w:rsid w:val="11175BEC"/>
    <w:rsid w:val="11567FC8"/>
    <w:rsid w:val="1203745D"/>
    <w:rsid w:val="121D5CB7"/>
    <w:rsid w:val="124771F7"/>
    <w:rsid w:val="12C23A8A"/>
    <w:rsid w:val="131D0882"/>
    <w:rsid w:val="13812B6E"/>
    <w:rsid w:val="13ED3D8E"/>
    <w:rsid w:val="14626D50"/>
    <w:rsid w:val="14D71F79"/>
    <w:rsid w:val="15A51221"/>
    <w:rsid w:val="165D5A37"/>
    <w:rsid w:val="16AA5DAB"/>
    <w:rsid w:val="1729160C"/>
    <w:rsid w:val="1764269C"/>
    <w:rsid w:val="17EF2E07"/>
    <w:rsid w:val="17F751D0"/>
    <w:rsid w:val="197E6B2C"/>
    <w:rsid w:val="199913CD"/>
    <w:rsid w:val="1A0206F7"/>
    <w:rsid w:val="1A17656F"/>
    <w:rsid w:val="1A3F047F"/>
    <w:rsid w:val="1B265DE9"/>
    <w:rsid w:val="1BEE4DF7"/>
    <w:rsid w:val="1CF203D7"/>
    <w:rsid w:val="1EA74833"/>
    <w:rsid w:val="1EAB00AD"/>
    <w:rsid w:val="1FC34F60"/>
    <w:rsid w:val="203051E2"/>
    <w:rsid w:val="209F6F92"/>
    <w:rsid w:val="20DE4AD6"/>
    <w:rsid w:val="234E1B01"/>
    <w:rsid w:val="2355603E"/>
    <w:rsid w:val="23FB4E4C"/>
    <w:rsid w:val="24B90E75"/>
    <w:rsid w:val="255E20E6"/>
    <w:rsid w:val="266B0E73"/>
    <w:rsid w:val="271C53E5"/>
    <w:rsid w:val="277C51EB"/>
    <w:rsid w:val="282C43EC"/>
    <w:rsid w:val="295A3BC5"/>
    <w:rsid w:val="2988420A"/>
    <w:rsid w:val="2A906944"/>
    <w:rsid w:val="2B767387"/>
    <w:rsid w:val="2B8901EE"/>
    <w:rsid w:val="2BA20629"/>
    <w:rsid w:val="2BDF5376"/>
    <w:rsid w:val="2BE65013"/>
    <w:rsid w:val="2C524771"/>
    <w:rsid w:val="2C76725C"/>
    <w:rsid w:val="2C8A5E20"/>
    <w:rsid w:val="2DBB3E55"/>
    <w:rsid w:val="2ECC0432"/>
    <w:rsid w:val="2F240E9E"/>
    <w:rsid w:val="2F942867"/>
    <w:rsid w:val="304B4109"/>
    <w:rsid w:val="30A1695B"/>
    <w:rsid w:val="313E4C16"/>
    <w:rsid w:val="321B1B17"/>
    <w:rsid w:val="32865C79"/>
    <w:rsid w:val="32D15935"/>
    <w:rsid w:val="33DA255D"/>
    <w:rsid w:val="350A0182"/>
    <w:rsid w:val="35BD46C2"/>
    <w:rsid w:val="375138AA"/>
    <w:rsid w:val="37664FCF"/>
    <w:rsid w:val="37781D9D"/>
    <w:rsid w:val="388E0068"/>
    <w:rsid w:val="39F808A3"/>
    <w:rsid w:val="3A6C4F0A"/>
    <w:rsid w:val="3A8514C4"/>
    <w:rsid w:val="3B7333A1"/>
    <w:rsid w:val="3BC10E30"/>
    <w:rsid w:val="3C293B1F"/>
    <w:rsid w:val="3C3D73B9"/>
    <w:rsid w:val="3E866B71"/>
    <w:rsid w:val="3EE96E87"/>
    <w:rsid w:val="3F30371B"/>
    <w:rsid w:val="40AF644D"/>
    <w:rsid w:val="42971F85"/>
    <w:rsid w:val="42E854F8"/>
    <w:rsid w:val="43EF5F40"/>
    <w:rsid w:val="44733FB6"/>
    <w:rsid w:val="44BB4440"/>
    <w:rsid w:val="44F366BA"/>
    <w:rsid w:val="44F52E34"/>
    <w:rsid w:val="456C7AE2"/>
    <w:rsid w:val="457708E0"/>
    <w:rsid w:val="45ED611E"/>
    <w:rsid w:val="464C76CF"/>
    <w:rsid w:val="46AE72BC"/>
    <w:rsid w:val="46BD2650"/>
    <w:rsid w:val="47D755E4"/>
    <w:rsid w:val="47FC538D"/>
    <w:rsid w:val="486115DC"/>
    <w:rsid w:val="48993612"/>
    <w:rsid w:val="48B86E14"/>
    <w:rsid w:val="49265DF6"/>
    <w:rsid w:val="49D025CA"/>
    <w:rsid w:val="4A04393F"/>
    <w:rsid w:val="4B470073"/>
    <w:rsid w:val="4B4C47AA"/>
    <w:rsid w:val="4BE95B17"/>
    <w:rsid w:val="4DE621FB"/>
    <w:rsid w:val="4DF16F1E"/>
    <w:rsid w:val="4E9F2A08"/>
    <w:rsid w:val="4E9F772E"/>
    <w:rsid w:val="4ED332E9"/>
    <w:rsid w:val="4FA77313"/>
    <w:rsid w:val="5001384B"/>
    <w:rsid w:val="50086768"/>
    <w:rsid w:val="509938A8"/>
    <w:rsid w:val="50B055A1"/>
    <w:rsid w:val="510D1FCC"/>
    <w:rsid w:val="525A3635"/>
    <w:rsid w:val="52A51BA5"/>
    <w:rsid w:val="536F2255"/>
    <w:rsid w:val="539C2AB0"/>
    <w:rsid w:val="53D04C0D"/>
    <w:rsid w:val="53FD6011"/>
    <w:rsid w:val="54E43134"/>
    <w:rsid w:val="555E5F94"/>
    <w:rsid w:val="56553771"/>
    <w:rsid w:val="56D96EA8"/>
    <w:rsid w:val="573371E1"/>
    <w:rsid w:val="57AC218E"/>
    <w:rsid w:val="58453CFE"/>
    <w:rsid w:val="59173250"/>
    <w:rsid w:val="5A607655"/>
    <w:rsid w:val="5B2F62E3"/>
    <w:rsid w:val="5C5C7EB7"/>
    <w:rsid w:val="5C9F389C"/>
    <w:rsid w:val="5CA64CA6"/>
    <w:rsid w:val="5DF97524"/>
    <w:rsid w:val="5E4E342D"/>
    <w:rsid w:val="5F831F7B"/>
    <w:rsid w:val="5F88496B"/>
    <w:rsid w:val="60C62535"/>
    <w:rsid w:val="61113C00"/>
    <w:rsid w:val="616D36A3"/>
    <w:rsid w:val="624E6F8F"/>
    <w:rsid w:val="625E62A9"/>
    <w:rsid w:val="628D1ACF"/>
    <w:rsid w:val="62981A01"/>
    <w:rsid w:val="630F5067"/>
    <w:rsid w:val="632958C1"/>
    <w:rsid w:val="63E366DC"/>
    <w:rsid w:val="644C5EDB"/>
    <w:rsid w:val="646C2D7C"/>
    <w:rsid w:val="650B3D26"/>
    <w:rsid w:val="65116386"/>
    <w:rsid w:val="65D42165"/>
    <w:rsid w:val="66642AA7"/>
    <w:rsid w:val="67D52A51"/>
    <w:rsid w:val="680944DF"/>
    <w:rsid w:val="6845513F"/>
    <w:rsid w:val="68483E44"/>
    <w:rsid w:val="68DB5336"/>
    <w:rsid w:val="6952022C"/>
    <w:rsid w:val="699E7D03"/>
    <w:rsid w:val="69CC7DEF"/>
    <w:rsid w:val="69E878A1"/>
    <w:rsid w:val="69F301ED"/>
    <w:rsid w:val="6AAE10E5"/>
    <w:rsid w:val="6B8C3DEB"/>
    <w:rsid w:val="6BBD684A"/>
    <w:rsid w:val="6C4C3EAD"/>
    <w:rsid w:val="6C4E728F"/>
    <w:rsid w:val="6CB3063E"/>
    <w:rsid w:val="6D042B84"/>
    <w:rsid w:val="6E023CD0"/>
    <w:rsid w:val="6E1E580E"/>
    <w:rsid w:val="6E663044"/>
    <w:rsid w:val="6F033D94"/>
    <w:rsid w:val="6F735359"/>
    <w:rsid w:val="70024036"/>
    <w:rsid w:val="70472F55"/>
    <w:rsid w:val="715D0027"/>
    <w:rsid w:val="719C02F0"/>
    <w:rsid w:val="722550A8"/>
    <w:rsid w:val="73B52AC6"/>
    <w:rsid w:val="73B92092"/>
    <w:rsid w:val="73BA5392"/>
    <w:rsid w:val="74904B1A"/>
    <w:rsid w:val="74DC4BB1"/>
    <w:rsid w:val="75237E26"/>
    <w:rsid w:val="754018BF"/>
    <w:rsid w:val="759722FF"/>
    <w:rsid w:val="75E14921"/>
    <w:rsid w:val="77A007AB"/>
    <w:rsid w:val="78284345"/>
    <w:rsid w:val="79222720"/>
    <w:rsid w:val="79D51B27"/>
    <w:rsid w:val="79F56707"/>
    <w:rsid w:val="7A64293C"/>
    <w:rsid w:val="7B0D396E"/>
    <w:rsid w:val="7B5F2E59"/>
    <w:rsid w:val="7D1E6A9F"/>
    <w:rsid w:val="7DC17407"/>
    <w:rsid w:val="7E9222F7"/>
    <w:rsid w:val="7EDD5A9A"/>
    <w:rsid w:val="7F765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tLeast"/>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rPr>
      <w:sz w:val="24"/>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1 字符"/>
    <w:basedOn w:val="7"/>
    <w:link w:val="2"/>
    <w:qFormat/>
    <w:uiPriority w:val="9"/>
    <w:rPr>
      <w:b/>
      <w:bCs/>
      <w:kern w:val="44"/>
      <w:sz w:val="44"/>
      <w:szCs w:val="44"/>
    </w:rPr>
  </w:style>
  <w:style w:type="paragraph" w:styleId="12">
    <w:name w:val="List Paragraph"/>
    <w:basedOn w:val="1"/>
    <w:qFormat/>
    <w:uiPriority w:val="99"/>
    <w:pPr>
      <w:widowControl w:val="0"/>
      <w:spacing w:line="240" w:lineRule="auto"/>
      <w:ind w:firstLine="420"/>
    </w:pPr>
    <w:rPr>
      <w:rFonts w:ascii="等线" w:hAnsi="等线" w:eastAsia="等线"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888C7-0CAD-45E9-8CF2-9F7EFF2BB34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1758</Words>
  <Characters>10023</Characters>
  <Lines>83</Lines>
  <Paragraphs>23</Paragraphs>
  <TotalTime>902</TotalTime>
  <ScaleCrop>false</ScaleCrop>
  <LinksUpToDate>false</LinksUpToDate>
  <CharactersWithSpaces>11758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2020-10-06T05:31:00Z</dcterms:created>
  <dc:creator>Marbor</dc:creator>
  <cp:lastModifiedBy>。</cp:lastModifiedBy>
  <dcterms:modified xsi:type="dcterms:W3CDTF">2021-12-15T01:22:18Z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5943F653579341A783319AD9B5686FDD</vt:lpwstr>
  </property>
</Properties>
</file>